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8F50E" w14:textId="77777777" w:rsidR="00AF5CBC" w:rsidRDefault="00F32A04" w:rsidP="00AF5CBC">
      <w:pPr>
        <w:pStyle w:val="TechnicalBlock"/>
        <w:ind w:left="-1134" w:right="-1134"/>
      </w:pPr>
      <w:bookmarkStart w:id="0" w:name="DW_BM_COVERPAGE"/>
      <w:bookmarkStart w:id="1" w:name="_GoBack"/>
      <w:bookmarkEnd w:id="1"/>
      <w:r>
        <w:pict w14:anchorId="6C42D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5114/21.&#10;Subject Codes: TRANS 761 TELECOM 465 IND 390 CODEC 1671 DATAPROTECT 295 DIGIT 190.&#10;Heading: PROPOSAL.&#10;Originator: Secretary-General of the European Commission, signed by Ms Martine DEPREZ, Director.&#10;Recipient: Mr Jeppe TRANHOLM-MIKKELSEN, Secretary-General of the Council of the European Union.&#10;Subject: Proposal for a DIRECTIVE OF THE EUROPEAN PARLIAMENT AND OF THE COUNCIL amending Directive 2010/40/EU on the framework for the deployment of Intelligent Transport Systems in the field of road transport and for interfaces with other modes of transport.&#10;Commission Document Number: COM(2021) 813 final.&#10;Preceeding Document Number: Not Set.&#10;Location: Brussels.&#10;Date: 16 December 2021.&#10;Interinstitutional Files: 2021/0419 (COD).&#10;Institutional Framework: Council of the European Union.&#10;Language: EN.&#10;Distribution Code: PUBLIC.&#10;GUID: 4943209815541989345_0" style="width:568.65pt;height:439.75pt">
            <v:imagedata r:id="rId11" o:title=""/>
          </v:shape>
        </w:pict>
      </w:r>
      <w:bookmarkEnd w:id="0"/>
    </w:p>
    <w:p w14:paraId="7A79B06E" w14:textId="773AA6C4" w:rsidR="00AF5CBC" w:rsidRDefault="00AF5CBC" w:rsidP="00AF5CBC">
      <w:pPr>
        <w:pStyle w:val="EntText"/>
        <w:spacing w:before="480"/>
      </w:pPr>
      <w:r w:rsidRPr="00AF5CBC">
        <w:t xml:space="preserve">Delegations will find attached document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AF5CBC">
        <w:instrText>COM(2021) 813 final</w:instrText>
      </w:r>
      <w:r>
        <w:instrText xml:space="preserve">" </w:instrText>
      </w:r>
      <w:r>
        <w:fldChar w:fldCharType="separate"/>
      </w:r>
      <w:r w:rsidRPr="00AF5CBC">
        <w:t>COM(2021) 813 final</w:t>
      </w:r>
      <w:r>
        <w:fldChar w:fldCharType="end"/>
      </w:r>
      <w:r w:rsidRPr="00AF5CBC">
        <w:t>.</w:t>
      </w:r>
    </w:p>
    <w:p w14:paraId="2586FAC3" w14:textId="77777777" w:rsidR="00AF5CBC" w:rsidRDefault="00AF5CBC" w:rsidP="00AF5CBC">
      <w:pPr>
        <w:pStyle w:val="Lignefinal"/>
      </w:pPr>
    </w:p>
    <w:p w14:paraId="2F578FDA" w14:textId="51B2B26E" w:rsidR="00AF5CBC" w:rsidRDefault="00AF5CBC" w:rsidP="00AF5CBC">
      <w:pPr>
        <w:pStyle w:val="pj"/>
        <w:spacing w:before="120"/>
      </w:pPr>
      <w:r w:rsidRPr="00AF5CBC">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AF5CBC">
        <w:instrText>COM(2021) 813 final</w:instrText>
      </w:r>
      <w:r>
        <w:instrText xml:space="preserve">" </w:instrText>
      </w:r>
      <w:r>
        <w:fldChar w:fldCharType="separate"/>
      </w:r>
      <w:r w:rsidRPr="00AF5CBC">
        <w:t>COM(2021) 813 final</w:t>
      </w:r>
      <w:r>
        <w:fldChar w:fldCharType="end"/>
      </w:r>
    </w:p>
    <w:p w14:paraId="29C2111A" w14:textId="4C9FF3C4" w:rsidR="00AF5CBC" w:rsidRPr="00AF5CBC" w:rsidRDefault="00AF5CBC" w:rsidP="00AF5CBC"/>
    <w:p w14:paraId="78A93358" w14:textId="77777777" w:rsidR="00AF5CBC" w:rsidRDefault="00AF5CBC" w:rsidP="00AF5CBC">
      <w:pPr>
        <w:rPr>
          <w:noProof/>
        </w:rPr>
        <w:sectPr w:rsidR="00AF5CBC" w:rsidSect="00AF5CBC">
          <w:headerReference w:type="even" r:id="rId12"/>
          <w:headerReference w:type="default" r:id="rId13"/>
          <w:footerReference w:type="even" r:id="rId14"/>
          <w:footerReference w:type="default" r:id="rId15"/>
          <w:headerReference w:type="first" r:id="rId16"/>
          <w:footerReference w:type="first" r:id="rId17"/>
          <w:pgSz w:w="11907" w:h="16839"/>
          <w:pgMar w:top="624" w:right="1134" w:bottom="1134" w:left="1134" w:header="567" w:footer="567" w:gutter="0"/>
          <w:pgNumType w:start="0"/>
          <w:cols w:space="720"/>
          <w:titlePg/>
          <w:docGrid w:linePitch="360"/>
        </w:sectPr>
      </w:pPr>
    </w:p>
    <w:p w14:paraId="1A01A2A7" w14:textId="043B794D" w:rsidR="00D94544" w:rsidRDefault="00F32A04" w:rsidP="00A86DF9">
      <w:pPr>
        <w:pStyle w:val="Pagedecouverture"/>
        <w:rPr>
          <w:noProof/>
        </w:rPr>
      </w:pPr>
      <w:r>
        <w:rPr>
          <w:noProof/>
        </w:rPr>
        <w:lastRenderedPageBreak/>
        <w:pict w14:anchorId="28ED2D48">
          <v:shape id="_x0000_i1026" type="#_x0000_t75" alt="82179F25-44F4-4072-A48D-079EB150A7DE" style="width:455.25pt;height:426.2pt">
            <v:imagedata r:id="rId18" o:title=""/>
          </v:shape>
        </w:pict>
      </w:r>
    </w:p>
    <w:p w14:paraId="4BC9A4C7" w14:textId="77777777" w:rsidR="00D94544" w:rsidRDefault="00D94544" w:rsidP="00D94544">
      <w:pPr>
        <w:rPr>
          <w:noProof/>
        </w:rPr>
        <w:sectPr w:rsidR="00D94544" w:rsidSect="0045537D">
          <w:headerReference w:type="even" r:id="rId19"/>
          <w:headerReference w:type="default" r:id="rId20"/>
          <w:footerReference w:type="even" r:id="rId21"/>
          <w:footerReference w:type="default" r:id="rId22"/>
          <w:headerReference w:type="first" r:id="rId23"/>
          <w:footerReference w:type="first" r:id="rId24"/>
          <w:pgSz w:w="11907" w:h="16839"/>
          <w:pgMar w:top="1134" w:right="1417" w:bottom="1134" w:left="1417" w:header="709" w:footer="709" w:gutter="0"/>
          <w:pgNumType w:start="0"/>
          <w:cols w:space="720"/>
          <w:docGrid w:linePitch="360"/>
        </w:sectPr>
      </w:pPr>
    </w:p>
    <w:p w14:paraId="11C34468" w14:textId="77777777" w:rsidR="00D94544" w:rsidRDefault="00D94544" w:rsidP="00D13454">
      <w:pPr>
        <w:pStyle w:val="Exposdesmotifstitre"/>
        <w:rPr>
          <w:noProof/>
        </w:rPr>
      </w:pPr>
      <w:r w:rsidRPr="006F770D">
        <w:rPr>
          <w:noProof/>
        </w:rPr>
        <w:lastRenderedPageBreak/>
        <w:t>EXPLANATORY MEMORANDUM</w:t>
      </w:r>
    </w:p>
    <w:p w14:paraId="0B2402A8" w14:textId="77777777" w:rsidR="00D94544" w:rsidRPr="006F770D" w:rsidRDefault="00D94544" w:rsidP="00D13454">
      <w:pPr>
        <w:pStyle w:val="ManualHeading1"/>
        <w:rPr>
          <w:noProof/>
        </w:rPr>
      </w:pPr>
      <w:r w:rsidRPr="00C567EE">
        <w:rPr>
          <w:noProof/>
        </w:rPr>
        <w:t>1.</w:t>
      </w:r>
      <w:r w:rsidRPr="00C567EE">
        <w:rPr>
          <w:noProof/>
        </w:rPr>
        <w:tab/>
      </w:r>
      <w:r w:rsidRPr="006F770D">
        <w:rPr>
          <w:noProof/>
        </w:rPr>
        <w:t>CONTEXT OF THE PROPOSAL</w:t>
      </w:r>
    </w:p>
    <w:p w14:paraId="7F869555" w14:textId="7BA4D404" w:rsidR="00757745" w:rsidRPr="004A096E" w:rsidRDefault="00757745" w:rsidP="00757745">
      <w:pPr>
        <w:pBdr>
          <w:top w:val="nil"/>
          <w:left w:val="nil"/>
          <w:bottom w:val="nil"/>
          <w:right w:val="nil"/>
          <w:between w:val="nil"/>
          <w:bar w:val="nil"/>
        </w:pBdr>
        <w:spacing w:before="0" w:after="240"/>
        <w:rPr>
          <w:noProof/>
        </w:rPr>
      </w:pPr>
      <w:r w:rsidRPr="004A096E">
        <w:rPr>
          <w:noProof/>
        </w:rPr>
        <w:t xml:space="preserve">This proposal concerns the </w:t>
      </w:r>
      <w:r w:rsidR="00531365" w:rsidRPr="004A096E">
        <w:rPr>
          <w:noProof/>
        </w:rPr>
        <w:t>adoption</w:t>
      </w:r>
      <w:r w:rsidRPr="004A096E">
        <w:rPr>
          <w:noProof/>
        </w:rPr>
        <w:t xml:space="preserve"> of a Directive of the European Parliament and of the Council, amend</w:t>
      </w:r>
      <w:r w:rsidR="00531365" w:rsidRPr="004A096E">
        <w:rPr>
          <w:noProof/>
        </w:rPr>
        <w:t>ing</w:t>
      </w:r>
      <w:r w:rsidRPr="004A096E">
        <w:rPr>
          <w:noProof/>
        </w:rPr>
        <w:t xml:space="preserve"> Directive 2010/40/EU of the European Parliament and of the Council of 7</w:t>
      </w:r>
      <w:r w:rsidR="0062367B">
        <w:rPr>
          <w:noProof/>
        </w:rPr>
        <w:t> </w:t>
      </w:r>
      <w:r w:rsidRPr="004A096E">
        <w:rPr>
          <w:noProof/>
        </w:rPr>
        <w:t>July</w:t>
      </w:r>
      <w:r w:rsidR="0062367B">
        <w:rPr>
          <w:noProof/>
        </w:rPr>
        <w:t> </w:t>
      </w:r>
      <w:r w:rsidRPr="004A096E">
        <w:rPr>
          <w:noProof/>
        </w:rPr>
        <w:t>2010 on the framework for the deployment of Intelligent Transport Systems in the field of road transport and for interfaces with other modes of transport</w:t>
      </w:r>
      <w:r w:rsidRPr="006B744F">
        <w:rPr>
          <w:rStyle w:val="FootnoteReference"/>
          <w:noProof/>
        </w:rPr>
        <w:footnoteReference w:id="2"/>
      </w:r>
      <w:r w:rsidR="001E2645" w:rsidRPr="004A096E">
        <w:rPr>
          <w:noProof/>
        </w:rPr>
        <w:t>.</w:t>
      </w:r>
    </w:p>
    <w:p w14:paraId="691BE7D2" w14:textId="77777777" w:rsidR="00D94544" w:rsidRPr="00044058" w:rsidRDefault="00D94544" w:rsidP="00D13454">
      <w:pPr>
        <w:pStyle w:val="ManualHeading2"/>
        <w:rPr>
          <w:rFonts w:eastAsia="Arial Unicode MS"/>
          <w:noProof/>
        </w:rPr>
      </w:pPr>
      <w:r w:rsidRPr="0029266A">
        <w:rPr>
          <w:rFonts w:eastAsia="Arial Unicode MS"/>
          <w:noProof/>
          <w:color w:val="000000"/>
          <w:u w:color="000000"/>
          <w:bdr w:val="nil"/>
          <w:lang w:val="en-US" w:eastAsia="en-GB"/>
        </w:rPr>
        <w:t>•</w:t>
      </w:r>
      <w:r w:rsidRPr="0029266A">
        <w:rPr>
          <w:rFonts w:eastAsia="Arial Unicode MS"/>
          <w:noProof/>
          <w:color w:val="000000"/>
          <w:u w:color="000000"/>
          <w:bdr w:val="nil"/>
          <w:lang w:val="en-US" w:eastAsia="en-GB"/>
        </w:rPr>
        <w:tab/>
      </w:r>
      <w:r w:rsidRPr="00044058">
        <w:rPr>
          <w:rFonts w:eastAsia="Arial Unicode MS"/>
          <w:noProof/>
        </w:rPr>
        <w:t>Reasons for and objectives of the proposal</w:t>
      </w:r>
    </w:p>
    <w:p w14:paraId="6E994C90" w14:textId="59B29C09" w:rsidR="00A616BB" w:rsidRPr="005B05D0" w:rsidRDefault="009F3C3D" w:rsidP="00D13454">
      <w:pPr>
        <w:pBdr>
          <w:top w:val="nil"/>
          <w:left w:val="nil"/>
          <w:bottom w:val="nil"/>
          <w:right w:val="nil"/>
          <w:between w:val="nil"/>
          <w:bar w:val="nil"/>
        </w:pBdr>
        <w:spacing w:before="0" w:after="240"/>
        <w:rPr>
          <w:noProof/>
        </w:rPr>
      </w:pPr>
      <w:r w:rsidRPr="005B05D0">
        <w:rPr>
          <w:noProof/>
        </w:rPr>
        <w:t xml:space="preserve">Mobility and transport are essential for European citizens and for the European economy as a whole. </w:t>
      </w:r>
      <w:r w:rsidR="001E2645">
        <w:rPr>
          <w:noProof/>
        </w:rPr>
        <w:t>The f</w:t>
      </w:r>
      <w:r w:rsidRPr="005B05D0">
        <w:rPr>
          <w:noProof/>
        </w:rPr>
        <w:t xml:space="preserve">ree movement of people and goods across its internal borders is a fundamental freedom of the European Union (EU) and its single market. </w:t>
      </w:r>
      <w:r w:rsidR="00C67583" w:rsidRPr="005B05D0">
        <w:rPr>
          <w:noProof/>
        </w:rPr>
        <w:t xml:space="preserve">The </w:t>
      </w:r>
      <w:r w:rsidR="00EB2108" w:rsidRPr="005B05D0">
        <w:rPr>
          <w:noProof/>
        </w:rPr>
        <w:t xml:space="preserve">European </w:t>
      </w:r>
      <w:r w:rsidR="00C67583" w:rsidRPr="005B05D0">
        <w:rPr>
          <w:noProof/>
        </w:rPr>
        <w:t>Commission</w:t>
      </w:r>
      <w:r w:rsidR="004C1E2F" w:rsidRPr="005B05D0">
        <w:rPr>
          <w:noProof/>
        </w:rPr>
        <w:t xml:space="preserve"> adopted in December 2020 </w:t>
      </w:r>
      <w:r w:rsidR="001E2645">
        <w:rPr>
          <w:noProof/>
        </w:rPr>
        <w:t>the</w:t>
      </w:r>
      <w:r w:rsidR="00C67583" w:rsidRPr="005B05D0">
        <w:rPr>
          <w:noProof/>
        </w:rPr>
        <w:t xml:space="preserve"> Communication on a Sustainable and Sma</w:t>
      </w:r>
      <w:r w:rsidR="00DB212F" w:rsidRPr="005B05D0">
        <w:rPr>
          <w:noProof/>
        </w:rPr>
        <w:t>rt Mobility Strategy (</w:t>
      </w:r>
      <w:r w:rsidR="001E2645">
        <w:rPr>
          <w:noProof/>
        </w:rPr>
        <w:t>‘</w:t>
      </w:r>
      <w:r w:rsidR="00EB2108" w:rsidRPr="005B05D0">
        <w:rPr>
          <w:noProof/>
        </w:rPr>
        <w:t xml:space="preserve">the </w:t>
      </w:r>
      <w:r w:rsidR="001E2645">
        <w:rPr>
          <w:noProof/>
        </w:rPr>
        <w:t>s</w:t>
      </w:r>
      <w:r w:rsidR="00EB2108" w:rsidRPr="005B05D0">
        <w:rPr>
          <w:noProof/>
        </w:rPr>
        <w:t>trategy</w:t>
      </w:r>
      <w:r w:rsidR="001E2645">
        <w:rPr>
          <w:noProof/>
        </w:rPr>
        <w:t>’</w:t>
      </w:r>
      <w:r w:rsidR="00DB212F" w:rsidRPr="005B05D0">
        <w:rPr>
          <w:noProof/>
        </w:rPr>
        <w:t>)</w:t>
      </w:r>
      <w:r w:rsidR="0068446B" w:rsidRPr="00882C0B">
        <w:rPr>
          <w:rStyle w:val="FootnoteReference"/>
          <w:rFonts w:eastAsia="Arial Unicode MS"/>
          <w:noProof/>
        </w:rPr>
        <w:footnoteReference w:id="3"/>
      </w:r>
      <w:r w:rsidR="00C67583" w:rsidRPr="005B05D0">
        <w:rPr>
          <w:noProof/>
        </w:rPr>
        <w:t xml:space="preserve"> </w:t>
      </w:r>
      <w:r w:rsidR="004C1E2F" w:rsidRPr="005B05D0">
        <w:rPr>
          <w:noProof/>
        </w:rPr>
        <w:t xml:space="preserve">that </w:t>
      </w:r>
      <w:r w:rsidR="001E2645">
        <w:rPr>
          <w:noProof/>
        </w:rPr>
        <w:t>proposes</w:t>
      </w:r>
      <w:r w:rsidR="00C67583" w:rsidRPr="005B05D0">
        <w:rPr>
          <w:noProof/>
        </w:rPr>
        <w:t xml:space="preserve"> a fundamental transformation of the European transport system to achieve </w:t>
      </w:r>
      <w:r w:rsidR="00EB2108" w:rsidRPr="005B05D0">
        <w:rPr>
          <w:noProof/>
        </w:rPr>
        <w:t xml:space="preserve">the </w:t>
      </w:r>
      <w:r w:rsidR="00C67583" w:rsidRPr="005B05D0">
        <w:rPr>
          <w:noProof/>
        </w:rPr>
        <w:t xml:space="preserve">objective of sustainable, smart and resilient mobility. Digitalisation is an indispensable driver </w:t>
      </w:r>
      <w:r w:rsidR="004C1E2F" w:rsidRPr="005B05D0">
        <w:rPr>
          <w:noProof/>
        </w:rPr>
        <w:t>of this transformation</w:t>
      </w:r>
      <w:r w:rsidR="001E2645">
        <w:rPr>
          <w:noProof/>
        </w:rPr>
        <w:t>. Digitalisation will</w:t>
      </w:r>
      <w:r w:rsidR="004C1E2F" w:rsidRPr="005B05D0">
        <w:rPr>
          <w:noProof/>
        </w:rPr>
        <w:t xml:space="preserve"> </w:t>
      </w:r>
      <w:r w:rsidR="00C67583" w:rsidRPr="005B05D0">
        <w:rPr>
          <w:noProof/>
        </w:rPr>
        <w:t>mak</w:t>
      </w:r>
      <w:r w:rsidR="00F74914" w:rsidRPr="005B05D0">
        <w:rPr>
          <w:noProof/>
        </w:rPr>
        <w:t>e</w:t>
      </w:r>
      <w:r w:rsidR="00C67583" w:rsidRPr="005B05D0">
        <w:rPr>
          <w:noProof/>
        </w:rPr>
        <w:t xml:space="preserve"> the entire </w:t>
      </w:r>
      <w:r w:rsidR="001E2645">
        <w:rPr>
          <w:noProof/>
        </w:rPr>
        <w:t xml:space="preserve">transport </w:t>
      </w:r>
      <w:r w:rsidR="00C67583" w:rsidRPr="005B05D0">
        <w:rPr>
          <w:noProof/>
        </w:rPr>
        <w:t>system seamless and more efficient</w:t>
      </w:r>
      <w:r w:rsidR="001E2645">
        <w:rPr>
          <w:noProof/>
        </w:rPr>
        <w:t>. It will also</w:t>
      </w:r>
      <w:r w:rsidR="00C67583" w:rsidRPr="005B05D0">
        <w:rPr>
          <w:noProof/>
        </w:rPr>
        <w:t xml:space="preserve"> further increas</w:t>
      </w:r>
      <w:r w:rsidR="001E2645">
        <w:rPr>
          <w:noProof/>
        </w:rPr>
        <w:t>e</w:t>
      </w:r>
      <w:r w:rsidR="00C67583" w:rsidRPr="005B05D0">
        <w:rPr>
          <w:noProof/>
        </w:rPr>
        <w:t xml:space="preserve"> levels of safety, security, reliability and comfort. </w:t>
      </w:r>
    </w:p>
    <w:p w14:paraId="5F1CB529" w14:textId="58B66A29" w:rsidR="002A43A5" w:rsidRDefault="00C67583" w:rsidP="003632D1">
      <w:pPr>
        <w:rPr>
          <w:noProof/>
        </w:rPr>
      </w:pPr>
      <w:r w:rsidRPr="005B05D0">
        <w:rPr>
          <w:noProof/>
        </w:rPr>
        <w:t xml:space="preserve">The </w:t>
      </w:r>
      <w:r w:rsidR="00342020">
        <w:rPr>
          <w:noProof/>
        </w:rPr>
        <w:t>s</w:t>
      </w:r>
      <w:r w:rsidRPr="005B05D0">
        <w:rPr>
          <w:noProof/>
        </w:rPr>
        <w:t xml:space="preserve">trategy identifies the deployment of </w:t>
      </w:r>
      <w:r w:rsidR="00342020">
        <w:rPr>
          <w:noProof/>
        </w:rPr>
        <w:t>i</w:t>
      </w:r>
      <w:r w:rsidRPr="005B05D0">
        <w:rPr>
          <w:noProof/>
        </w:rPr>
        <w:t xml:space="preserve">ntelligent </w:t>
      </w:r>
      <w:r w:rsidR="00342020">
        <w:rPr>
          <w:noProof/>
        </w:rPr>
        <w:t>t</w:t>
      </w:r>
      <w:r w:rsidRPr="005B05D0">
        <w:rPr>
          <w:noProof/>
        </w:rPr>
        <w:t xml:space="preserve">ransport </w:t>
      </w:r>
      <w:r w:rsidR="00342020">
        <w:rPr>
          <w:noProof/>
        </w:rPr>
        <w:t>s</w:t>
      </w:r>
      <w:r w:rsidRPr="005B05D0">
        <w:rPr>
          <w:noProof/>
        </w:rPr>
        <w:t xml:space="preserve">ystems (ITS) as a key action in </w:t>
      </w:r>
      <w:r w:rsidR="00342020">
        <w:rPr>
          <w:noProof/>
        </w:rPr>
        <w:t>building</w:t>
      </w:r>
      <w:r w:rsidR="00342020" w:rsidRPr="005B05D0">
        <w:rPr>
          <w:noProof/>
        </w:rPr>
        <w:t xml:space="preserve"> </w:t>
      </w:r>
      <w:r w:rsidRPr="005B05D0">
        <w:rPr>
          <w:noProof/>
        </w:rPr>
        <w:t>a connected and automated multimodal mobility</w:t>
      </w:r>
      <w:r w:rsidR="00EA0B43" w:rsidRPr="005B05D0">
        <w:rPr>
          <w:noProof/>
        </w:rPr>
        <w:t xml:space="preserve"> system</w:t>
      </w:r>
      <w:r w:rsidRPr="005B05D0">
        <w:rPr>
          <w:noProof/>
        </w:rPr>
        <w:t xml:space="preserve">. </w:t>
      </w:r>
      <w:r w:rsidR="007B4C8C" w:rsidRPr="007B4C8C">
        <w:rPr>
          <w:noProof/>
        </w:rPr>
        <w:t xml:space="preserve">The latter combines new developments such as Mobility as a Service (MaaS) and Cooperative, </w:t>
      </w:r>
      <w:r w:rsidR="005B08E6">
        <w:rPr>
          <w:noProof/>
        </w:rPr>
        <w:t>c</w:t>
      </w:r>
      <w:r w:rsidR="007B4C8C" w:rsidRPr="007B4C8C">
        <w:rPr>
          <w:noProof/>
        </w:rPr>
        <w:t xml:space="preserve">onnected and </w:t>
      </w:r>
      <w:r w:rsidR="005B08E6">
        <w:rPr>
          <w:noProof/>
        </w:rPr>
        <w:t>a</w:t>
      </w:r>
      <w:r w:rsidR="007B4C8C" w:rsidRPr="007B4C8C">
        <w:rPr>
          <w:noProof/>
        </w:rPr>
        <w:t xml:space="preserve">utomated </w:t>
      </w:r>
      <w:r w:rsidR="005B08E6">
        <w:rPr>
          <w:noProof/>
        </w:rPr>
        <w:t>m</w:t>
      </w:r>
      <w:r w:rsidR="007B4C8C" w:rsidRPr="007B4C8C">
        <w:rPr>
          <w:noProof/>
        </w:rPr>
        <w:t xml:space="preserve">obility (CCAM). CCAM transforms a driver into a user of a shared fleet of vehicles, fully integrated in a multimodal transport system, made seamless by Multimodal Digital Mobility Services (MDMS) such as MaaS applications. </w:t>
      </w:r>
    </w:p>
    <w:p w14:paraId="4FA6E1D4" w14:textId="22009808" w:rsidR="002A43A5" w:rsidRDefault="007B4C8C" w:rsidP="003632D1">
      <w:pPr>
        <w:rPr>
          <w:noProof/>
        </w:rPr>
      </w:pPr>
      <w:r w:rsidRPr="007B4C8C">
        <w:rPr>
          <w:noProof/>
        </w:rPr>
        <w:t xml:space="preserve">The strategy is clear: in order to make transport truly more sustainable we need to deliver effective and seamless multimodality, using the most efficient mode for each leg of the journey. In addition, each mode needs to become more efficient; for road this means that shared solutions increasingly provide a viable alternative for private vehicle ownership. This also fosters the uptake of zero-emission vehicles as users of shared mobility services will have a whole fleet at </w:t>
      </w:r>
      <w:r w:rsidR="00AD4247">
        <w:rPr>
          <w:noProof/>
        </w:rPr>
        <w:t>their</w:t>
      </w:r>
      <w:r w:rsidRPr="007B4C8C">
        <w:rPr>
          <w:noProof/>
        </w:rPr>
        <w:t xml:space="preserve"> disposal. Anxiety about range or purchase cost is then mitigated, especially when that fleet can go recharge itself automatically. In other words, emerging ITS services </w:t>
      </w:r>
      <w:r w:rsidR="00AD4247">
        <w:rPr>
          <w:noProof/>
        </w:rPr>
        <w:t>can</w:t>
      </w:r>
      <w:r w:rsidRPr="007B4C8C">
        <w:rPr>
          <w:noProof/>
        </w:rPr>
        <w:t xml:space="preserve"> accelerate the uptake of zero-emission vehicles </w:t>
      </w:r>
      <w:r w:rsidR="00AD4247">
        <w:rPr>
          <w:noProof/>
        </w:rPr>
        <w:t>and</w:t>
      </w:r>
      <w:r w:rsidRPr="007B4C8C">
        <w:rPr>
          <w:noProof/>
        </w:rPr>
        <w:t xml:space="preserve"> also help use them more efficiently. </w:t>
      </w:r>
    </w:p>
    <w:p w14:paraId="0A1B1206" w14:textId="465B9460" w:rsidR="00CF79F1" w:rsidRPr="005B05D0" w:rsidRDefault="007B4C8C" w:rsidP="003632D1">
      <w:pPr>
        <w:rPr>
          <w:noProof/>
        </w:rPr>
      </w:pPr>
      <w:r w:rsidRPr="007B4C8C">
        <w:rPr>
          <w:noProof/>
        </w:rPr>
        <w:t xml:space="preserve">Finally, smoothening road traffic flows (noting that zero-emission fleets should not lead to zero-emission traffic jams) will </w:t>
      </w:r>
      <w:r w:rsidR="0047476A">
        <w:rPr>
          <w:noProof/>
        </w:rPr>
        <w:t xml:space="preserve">also contribute to more sustainable </w:t>
      </w:r>
      <w:r w:rsidR="00847D9E">
        <w:rPr>
          <w:noProof/>
        </w:rPr>
        <w:t>transport</w:t>
      </w:r>
      <w:r w:rsidR="0047476A">
        <w:rPr>
          <w:noProof/>
        </w:rPr>
        <w:t xml:space="preserve">. </w:t>
      </w:r>
      <w:r w:rsidRPr="007B4C8C">
        <w:rPr>
          <w:noProof/>
        </w:rPr>
        <w:t xml:space="preserve">Ideally, shared zero emission vehicles function as feeder services to existing and even more efficient modes, for both passengers and freight, providing for seamless and more inclusive travel. </w:t>
      </w:r>
      <w:r w:rsidR="00AD4247">
        <w:rPr>
          <w:noProof/>
        </w:rPr>
        <w:t>Congestion costs the EU economy more than 1% of GDP per year</w:t>
      </w:r>
      <w:r w:rsidR="00AD4247">
        <w:rPr>
          <w:rStyle w:val="FootnoteReference"/>
          <w:noProof/>
        </w:rPr>
        <w:footnoteReference w:id="4"/>
      </w:r>
      <w:r w:rsidR="00AD4247">
        <w:rPr>
          <w:noProof/>
        </w:rPr>
        <w:t xml:space="preserve">, in time lost by citizens and workers but also in unreliable and inefficient logistics feeding the economy. By reducing incidents and improving traffic management, ITS can help reduce congestion and make an important contribution to economic efficiency and competitiveness of the EU economy. </w:t>
      </w:r>
      <w:r w:rsidR="00342020">
        <w:rPr>
          <w:noProof/>
        </w:rPr>
        <w:t xml:space="preserve">Deploying </w:t>
      </w:r>
      <w:r w:rsidR="00C67583" w:rsidRPr="005B05D0">
        <w:rPr>
          <w:noProof/>
        </w:rPr>
        <w:t xml:space="preserve">ITS </w:t>
      </w:r>
      <w:r w:rsidR="00A616BB" w:rsidRPr="005B05D0">
        <w:rPr>
          <w:noProof/>
        </w:rPr>
        <w:t xml:space="preserve">has the potential </w:t>
      </w:r>
      <w:r w:rsidR="00C67583" w:rsidRPr="005B05D0">
        <w:rPr>
          <w:noProof/>
        </w:rPr>
        <w:t xml:space="preserve">to significantly improve road safety, traffic efficiency and comfort, by helping transport users to take the right decisions and adapt to the traffic situation. </w:t>
      </w:r>
      <w:r w:rsidR="00EB2108" w:rsidRPr="005B05D0">
        <w:rPr>
          <w:noProof/>
        </w:rPr>
        <w:t xml:space="preserve">ITS </w:t>
      </w:r>
      <w:r w:rsidR="00C67583" w:rsidRPr="005B05D0">
        <w:rPr>
          <w:noProof/>
        </w:rPr>
        <w:t xml:space="preserve">also </w:t>
      </w:r>
      <w:r w:rsidR="00342020">
        <w:rPr>
          <w:noProof/>
        </w:rPr>
        <w:t>make it possible to</w:t>
      </w:r>
      <w:r w:rsidR="00342020" w:rsidRPr="005B05D0">
        <w:rPr>
          <w:noProof/>
        </w:rPr>
        <w:t xml:space="preserve"> </w:t>
      </w:r>
      <w:r w:rsidR="00342020">
        <w:rPr>
          <w:noProof/>
        </w:rPr>
        <w:t>make</w:t>
      </w:r>
      <w:r w:rsidR="00C67583" w:rsidRPr="005B05D0">
        <w:rPr>
          <w:noProof/>
        </w:rPr>
        <w:t xml:space="preserve"> better use </w:t>
      </w:r>
      <w:r w:rsidR="00342020">
        <w:rPr>
          <w:noProof/>
        </w:rPr>
        <w:t xml:space="preserve">of </w:t>
      </w:r>
      <w:r w:rsidR="00C67583" w:rsidRPr="005B05D0">
        <w:rPr>
          <w:noProof/>
        </w:rPr>
        <w:t>existing infrastructure, increase multimodality options</w:t>
      </w:r>
      <w:r w:rsidR="00342020">
        <w:rPr>
          <w:noProof/>
        </w:rPr>
        <w:t>,</w:t>
      </w:r>
      <w:r w:rsidR="00C67583" w:rsidRPr="005B05D0">
        <w:rPr>
          <w:noProof/>
        </w:rPr>
        <w:t xml:space="preserve"> and </w:t>
      </w:r>
      <w:r w:rsidR="00342020">
        <w:rPr>
          <w:noProof/>
        </w:rPr>
        <w:t>improve</w:t>
      </w:r>
      <w:r w:rsidR="00342020" w:rsidRPr="005B05D0">
        <w:rPr>
          <w:noProof/>
        </w:rPr>
        <w:t xml:space="preserve"> </w:t>
      </w:r>
      <w:r w:rsidR="00C67583" w:rsidRPr="005B05D0">
        <w:rPr>
          <w:noProof/>
        </w:rPr>
        <w:t xml:space="preserve">traffic management. </w:t>
      </w:r>
    </w:p>
    <w:p w14:paraId="4B8F1E43" w14:textId="722E2170" w:rsidR="0037386D" w:rsidRPr="005B05D0" w:rsidRDefault="00CF79F1" w:rsidP="00D13454">
      <w:pPr>
        <w:pBdr>
          <w:top w:val="nil"/>
          <w:left w:val="nil"/>
          <w:bottom w:val="nil"/>
          <w:right w:val="nil"/>
          <w:between w:val="nil"/>
          <w:bar w:val="nil"/>
        </w:pBdr>
        <w:spacing w:before="0" w:after="240"/>
        <w:rPr>
          <w:noProof/>
        </w:rPr>
      </w:pPr>
      <w:r w:rsidRPr="005B05D0">
        <w:rPr>
          <w:noProof/>
        </w:rPr>
        <w:t>T</w:t>
      </w:r>
      <w:r w:rsidR="0032578A" w:rsidRPr="005B05D0">
        <w:rPr>
          <w:noProof/>
        </w:rPr>
        <w:t xml:space="preserve">he </w:t>
      </w:r>
      <w:r w:rsidR="0032578A" w:rsidRPr="003D1CDF">
        <w:rPr>
          <w:i/>
          <w:noProof/>
        </w:rPr>
        <w:t>Communication on a European Strategy for Data</w:t>
      </w:r>
      <w:r w:rsidRPr="00882C0B">
        <w:rPr>
          <w:rStyle w:val="FootnoteReference"/>
          <w:rFonts w:eastAsia="Arial Unicode MS"/>
          <w:noProof/>
        </w:rPr>
        <w:footnoteReference w:id="5"/>
      </w:r>
      <w:r w:rsidR="00087095">
        <w:rPr>
          <w:noProof/>
        </w:rPr>
        <w:t>,</w:t>
      </w:r>
      <w:r w:rsidR="0032578A" w:rsidRPr="005B05D0">
        <w:rPr>
          <w:noProof/>
        </w:rPr>
        <w:t xml:space="preserve"> </w:t>
      </w:r>
      <w:r w:rsidRPr="005B05D0">
        <w:rPr>
          <w:noProof/>
        </w:rPr>
        <w:t>adopted by the Commission in February 2020</w:t>
      </w:r>
      <w:r w:rsidR="0098354C">
        <w:rPr>
          <w:noProof/>
        </w:rPr>
        <w:t>,</w:t>
      </w:r>
      <w:r w:rsidRPr="005B05D0">
        <w:rPr>
          <w:noProof/>
        </w:rPr>
        <w:t xml:space="preserve"> </w:t>
      </w:r>
      <w:r w:rsidR="0032578A" w:rsidRPr="005B05D0">
        <w:rPr>
          <w:noProof/>
        </w:rPr>
        <w:t xml:space="preserve">recognises that data-driven innovation will bring </w:t>
      </w:r>
      <w:r w:rsidR="004F4D27">
        <w:rPr>
          <w:noProof/>
        </w:rPr>
        <w:t>major</w:t>
      </w:r>
      <w:r w:rsidR="0032578A" w:rsidRPr="005B05D0">
        <w:rPr>
          <w:noProof/>
        </w:rPr>
        <w:t xml:space="preserve"> benefits </w:t>
      </w:r>
      <w:r w:rsidR="002231A9" w:rsidRPr="005B05D0">
        <w:rPr>
          <w:noProof/>
        </w:rPr>
        <w:t>to</w:t>
      </w:r>
      <w:r w:rsidR="0032578A" w:rsidRPr="005B05D0">
        <w:rPr>
          <w:noProof/>
        </w:rPr>
        <w:t xml:space="preserve"> </w:t>
      </w:r>
      <w:r w:rsidR="0098354C">
        <w:rPr>
          <w:noProof/>
        </w:rPr>
        <w:t>the public</w:t>
      </w:r>
      <w:r w:rsidR="0098354C" w:rsidRPr="005B05D0">
        <w:rPr>
          <w:noProof/>
        </w:rPr>
        <w:t xml:space="preserve"> </w:t>
      </w:r>
      <w:r w:rsidR="0032578A" w:rsidRPr="005B05D0">
        <w:rPr>
          <w:noProof/>
        </w:rPr>
        <w:t xml:space="preserve">through its contribution to the </w:t>
      </w:r>
      <w:r w:rsidR="00F25F9E">
        <w:rPr>
          <w:noProof/>
        </w:rPr>
        <w:t xml:space="preserve">European </w:t>
      </w:r>
      <w:r w:rsidR="0032578A" w:rsidRPr="005B05D0">
        <w:rPr>
          <w:noProof/>
        </w:rPr>
        <w:t>Green Deal</w:t>
      </w:r>
      <w:r w:rsidRPr="00882C0B">
        <w:rPr>
          <w:rStyle w:val="FootnoteReference"/>
          <w:rFonts w:eastAsia="Arial Unicode MS"/>
          <w:noProof/>
        </w:rPr>
        <w:footnoteReference w:id="6"/>
      </w:r>
      <w:r w:rsidR="0032578A" w:rsidRPr="005B05D0">
        <w:rPr>
          <w:noProof/>
        </w:rPr>
        <w:t>, a</w:t>
      </w:r>
      <w:r w:rsidR="0098354C">
        <w:rPr>
          <w:noProof/>
        </w:rPr>
        <w:t>nd by</w:t>
      </w:r>
      <w:r w:rsidR="0032578A" w:rsidRPr="005B05D0">
        <w:rPr>
          <w:noProof/>
        </w:rPr>
        <w:t xml:space="preserve"> help</w:t>
      </w:r>
      <w:r w:rsidR="0098354C">
        <w:rPr>
          <w:noProof/>
        </w:rPr>
        <w:t>ing to</w:t>
      </w:r>
      <w:r w:rsidR="0032578A" w:rsidRPr="005B05D0">
        <w:rPr>
          <w:noProof/>
        </w:rPr>
        <w:t xml:space="preserve"> mak</w:t>
      </w:r>
      <w:r w:rsidR="0098354C">
        <w:rPr>
          <w:noProof/>
        </w:rPr>
        <w:t>e</w:t>
      </w:r>
      <w:r w:rsidR="0032578A" w:rsidRPr="005B05D0">
        <w:rPr>
          <w:noProof/>
        </w:rPr>
        <w:t xml:space="preserve"> </w:t>
      </w:r>
      <w:r w:rsidR="002231A9" w:rsidRPr="005B05D0">
        <w:rPr>
          <w:noProof/>
        </w:rPr>
        <w:t>Europe fit for the digital age</w:t>
      </w:r>
      <w:r w:rsidR="003E65B9" w:rsidRPr="00882C0B">
        <w:rPr>
          <w:rStyle w:val="FootnoteReference"/>
          <w:rFonts w:eastAsia="Arial Unicode MS"/>
          <w:noProof/>
        </w:rPr>
        <w:footnoteReference w:id="7"/>
      </w:r>
      <w:r w:rsidR="002231A9" w:rsidRPr="005B05D0">
        <w:rPr>
          <w:noProof/>
        </w:rPr>
        <w:t>.</w:t>
      </w:r>
    </w:p>
    <w:p w14:paraId="4C88BF04" w14:textId="6F6676E1" w:rsidR="002242D4" w:rsidRPr="005B05D0" w:rsidRDefault="00C67583" w:rsidP="003632D1">
      <w:pPr>
        <w:rPr>
          <w:noProof/>
        </w:rPr>
      </w:pPr>
      <w:r w:rsidRPr="005B05D0">
        <w:rPr>
          <w:noProof/>
        </w:rPr>
        <w:t xml:space="preserve">Directive 2010/40/EU (the ITS Directive) </w:t>
      </w:r>
      <w:r w:rsidR="002F3291" w:rsidRPr="002F3291">
        <w:rPr>
          <w:noProof/>
        </w:rPr>
        <w:t>was designed to be</w:t>
      </w:r>
      <w:r w:rsidRPr="005B05D0">
        <w:rPr>
          <w:noProof/>
        </w:rPr>
        <w:t xml:space="preserve"> the framework </w:t>
      </w:r>
      <w:r w:rsidR="002F3291">
        <w:rPr>
          <w:noProof/>
        </w:rPr>
        <w:t>for</w:t>
      </w:r>
      <w:r w:rsidR="002F3291" w:rsidRPr="005B05D0">
        <w:rPr>
          <w:noProof/>
        </w:rPr>
        <w:t xml:space="preserve"> </w:t>
      </w:r>
      <w:r w:rsidRPr="005B05D0">
        <w:rPr>
          <w:noProof/>
        </w:rPr>
        <w:t>accelerat</w:t>
      </w:r>
      <w:r w:rsidR="002F3291">
        <w:rPr>
          <w:noProof/>
        </w:rPr>
        <w:t>ing</w:t>
      </w:r>
      <w:r w:rsidRPr="005B05D0">
        <w:rPr>
          <w:noProof/>
        </w:rPr>
        <w:t xml:space="preserve"> and coordinat</w:t>
      </w:r>
      <w:r w:rsidR="002F3291">
        <w:rPr>
          <w:noProof/>
        </w:rPr>
        <w:t>ing</w:t>
      </w:r>
      <w:r w:rsidRPr="005B05D0">
        <w:rPr>
          <w:noProof/>
        </w:rPr>
        <w:t xml:space="preserve"> the deployment and use of ITS applied to road transport and its interfaces with other transport modes. </w:t>
      </w:r>
    </w:p>
    <w:p w14:paraId="3514CBA7" w14:textId="022558FA" w:rsidR="002231A9" w:rsidRPr="005B05D0" w:rsidRDefault="002231A9" w:rsidP="003632D1">
      <w:pPr>
        <w:rPr>
          <w:noProof/>
        </w:rPr>
      </w:pPr>
      <w:r w:rsidRPr="005B05D0">
        <w:rPr>
          <w:noProof/>
        </w:rPr>
        <w:t xml:space="preserve">The </w:t>
      </w:r>
      <w:r w:rsidR="002F3291">
        <w:rPr>
          <w:noProof/>
        </w:rPr>
        <w:t>s</w:t>
      </w:r>
      <w:r w:rsidRPr="005B05D0">
        <w:rPr>
          <w:noProof/>
        </w:rPr>
        <w:t>trategy announced th</w:t>
      </w:r>
      <w:r w:rsidR="002F3291">
        <w:rPr>
          <w:noProof/>
        </w:rPr>
        <w:t>at</w:t>
      </w:r>
      <w:r w:rsidRPr="005B05D0">
        <w:rPr>
          <w:noProof/>
        </w:rPr>
        <w:t xml:space="preserve"> the ITS Directive</w:t>
      </w:r>
      <w:r w:rsidR="002F3291" w:rsidRPr="002F3291">
        <w:rPr>
          <w:noProof/>
        </w:rPr>
        <w:t xml:space="preserve"> would soon be revised</w:t>
      </w:r>
      <w:r w:rsidRPr="005B05D0">
        <w:rPr>
          <w:noProof/>
        </w:rPr>
        <w:t>, including some of its delegated regulations</w:t>
      </w:r>
      <w:r w:rsidR="002F3291" w:rsidRPr="002F3291">
        <w:rPr>
          <w:noProof/>
        </w:rPr>
        <w:t>. The strategy also highlighted</w:t>
      </w:r>
      <w:r w:rsidR="002F3291">
        <w:rPr>
          <w:noProof/>
        </w:rPr>
        <w:t xml:space="preserve"> the Commission’s</w:t>
      </w:r>
      <w:r w:rsidRPr="005B05D0">
        <w:rPr>
          <w:noProof/>
        </w:rPr>
        <w:t xml:space="preserve"> intention to </w:t>
      </w:r>
      <w:r w:rsidR="002F3291">
        <w:rPr>
          <w:noProof/>
        </w:rPr>
        <w:t>support the creation of</w:t>
      </w:r>
      <w:r w:rsidRPr="005B05D0">
        <w:rPr>
          <w:noProof/>
        </w:rPr>
        <w:t xml:space="preserve"> a coordination mechanism </w:t>
      </w:r>
      <w:r w:rsidR="002F3291">
        <w:rPr>
          <w:noProof/>
        </w:rPr>
        <w:t xml:space="preserve">in 2021 </w:t>
      </w:r>
      <w:r w:rsidRPr="005B05D0">
        <w:rPr>
          <w:noProof/>
        </w:rPr>
        <w:t xml:space="preserve">for the </w:t>
      </w:r>
      <w:r w:rsidR="002F3291">
        <w:rPr>
          <w:noProof/>
        </w:rPr>
        <w:t>n</w:t>
      </w:r>
      <w:r w:rsidRPr="005B05D0">
        <w:rPr>
          <w:noProof/>
        </w:rPr>
        <w:t xml:space="preserve">ational </w:t>
      </w:r>
      <w:r w:rsidR="002F3291">
        <w:rPr>
          <w:noProof/>
        </w:rPr>
        <w:t>a</w:t>
      </w:r>
      <w:r w:rsidRPr="005B05D0">
        <w:rPr>
          <w:noProof/>
        </w:rPr>
        <w:t xml:space="preserve">ccess </w:t>
      </w:r>
      <w:r w:rsidR="002F3291">
        <w:rPr>
          <w:noProof/>
        </w:rPr>
        <w:t>p</w:t>
      </w:r>
      <w:r w:rsidRPr="005B05D0">
        <w:rPr>
          <w:noProof/>
        </w:rPr>
        <w:t xml:space="preserve">oints (NAPs) </w:t>
      </w:r>
      <w:r w:rsidR="002F3291">
        <w:rPr>
          <w:noProof/>
        </w:rPr>
        <w:t>created</w:t>
      </w:r>
      <w:r w:rsidR="002F3291" w:rsidRPr="005B05D0">
        <w:rPr>
          <w:noProof/>
        </w:rPr>
        <w:t xml:space="preserve"> </w:t>
      </w:r>
      <w:r w:rsidRPr="005B05D0">
        <w:rPr>
          <w:noProof/>
        </w:rPr>
        <w:t>under the ITS Directive.</w:t>
      </w:r>
    </w:p>
    <w:p w14:paraId="79D59F47" w14:textId="266A239B" w:rsidR="004C1E2F" w:rsidRPr="005B05D0" w:rsidRDefault="002242D4" w:rsidP="00D13454">
      <w:pPr>
        <w:pBdr>
          <w:top w:val="nil"/>
          <w:left w:val="nil"/>
          <w:bottom w:val="nil"/>
          <w:right w:val="nil"/>
          <w:between w:val="nil"/>
          <w:bar w:val="nil"/>
        </w:pBdr>
        <w:spacing w:before="0" w:after="240"/>
        <w:rPr>
          <w:noProof/>
        </w:rPr>
      </w:pPr>
      <w:r w:rsidRPr="005B05D0">
        <w:rPr>
          <w:noProof/>
        </w:rPr>
        <w:t xml:space="preserve">The Commission carried out an </w:t>
      </w:r>
      <w:r w:rsidRPr="003D1CDF">
        <w:rPr>
          <w:i/>
          <w:noProof/>
        </w:rPr>
        <w:t>ex-post</w:t>
      </w:r>
      <w:r w:rsidRPr="005B05D0">
        <w:rPr>
          <w:noProof/>
        </w:rPr>
        <w:t xml:space="preserve"> evaluation of th</w:t>
      </w:r>
      <w:r w:rsidR="0040621E">
        <w:rPr>
          <w:noProof/>
        </w:rPr>
        <w:t>e ITS</w:t>
      </w:r>
      <w:r w:rsidRPr="005B05D0">
        <w:rPr>
          <w:noProof/>
        </w:rPr>
        <w:t xml:space="preserve"> Directive</w:t>
      </w:r>
      <w:r w:rsidRPr="00882C0B">
        <w:rPr>
          <w:rStyle w:val="FootnoteReference"/>
          <w:rFonts w:eastAsia="Arial Unicode MS"/>
          <w:noProof/>
        </w:rPr>
        <w:footnoteReference w:id="8"/>
      </w:r>
      <w:r w:rsidRPr="005B05D0">
        <w:rPr>
          <w:noProof/>
        </w:rPr>
        <w:t xml:space="preserve"> that concluded that the Directive has had a positive impact on the deployment of ITS across the EU</w:t>
      </w:r>
      <w:r w:rsidR="0040621E">
        <w:rPr>
          <w:noProof/>
        </w:rPr>
        <w:t xml:space="preserve">. </w:t>
      </w:r>
      <w:r w:rsidR="0040621E" w:rsidRPr="0040621E">
        <w:rPr>
          <w:noProof/>
        </w:rPr>
        <w:t>The evaluation also concluded that the Directive</w:t>
      </w:r>
      <w:r w:rsidR="0040621E" w:rsidRPr="0040621E" w:rsidDel="0040621E">
        <w:rPr>
          <w:noProof/>
        </w:rPr>
        <w:t xml:space="preserve"> </w:t>
      </w:r>
      <w:r w:rsidRPr="005B05D0">
        <w:rPr>
          <w:noProof/>
        </w:rPr>
        <w:t>remains a relevant tool to address</w:t>
      </w:r>
      <w:r w:rsidR="0040621E">
        <w:rPr>
          <w:noProof/>
        </w:rPr>
        <w:t>:</w:t>
      </w:r>
      <w:r w:rsidRPr="005B05D0">
        <w:rPr>
          <w:noProof/>
        </w:rPr>
        <w:t xml:space="preserve"> </w:t>
      </w:r>
      <w:r w:rsidR="0040621E">
        <w:rPr>
          <w:noProof/>
        </w:rPr>
        <w:t>(i</w:t>
      </w:r>
      <w:r w:rsidRPr="005B05D0">
        <w:rPr>
          <w:noProof/>
        </w:rPr>
        <w:t xml:space="preserve">) </w:t>
      </w:r>
      <w:r w:rsidR="0040621E">
        <w:rPr>
          <w:noProof/>
        </w:rPr>
        <w:t xml:space="preserve">a </w:t>
      </w:r>
      <w:r w:rsidRPr="005B05D0">
        <w:rPr>
          <w:noProof/>
        </w:rPr>
        <w:t>lack of coordination in ITS deployment across the EU</w:t>
      </w:r>
      <w:r w:rsidR="0040621E">
        <w:rPr>
          <w:noProof/>
        </w:rPr>
        <w:t>;</w:t>
      </w:r>
      <w:r w:rsidRPr="005B05D0">
        <w:rPr>
          <w:noProof/>
        </w:rPr>
        <w:t xml:space="preserve"> and </w:t>
      </w:r>
      <w:r w:rsidR="0040621E">
        <w:rPr>
          <w:noProof/>
        </w:rPr>
        <w:t>(ii</w:t>
      </w:r>
      <w:r w:rsidRPr="005B05D0">
        <w:rPr>
          <w:noProof/>
        </w:rPr>
        <w:t xml:space="preserve">) </w:t>
      </w:r>
      <w:r w:rsidR="0040621E">
        <w:rPr>
          <w:noProof/>
        </w:rPr>
        <w:t xml:space="preserve">the </w:t>
      </w:r>
      <w:r w:rsidRPr="005B05D0">
        <w:rPr>
          <w:noProof/>
        </w:rPr>
        <w:t>slow, risky and cost-</w:t>
      </w:r>
      <w:r w:rsidR="0040621E">
        <w:rPr>
          <w:noProof/>
        </w:rPr>
        <w:t>in</w:t>
      </w:r>
      <w:r w:rsidRPr="005B05D0">
        <w:rPr>
          <w:noProof/>
        </w:rPr>
        <w:t>effective deployment</w:t>
      </w:r>
      <w:r w:rsidR="0040621E">
        <w:rPr>
          <w:noProof/>
        </w:rPr>
        <w:t xml:space="preserve"> of ITS</w:t>
      </w:r>
      <w:r w:rsidRPr="005B05D0">
        <w:rPr>
          <w:noProof/>
        </w:rPr>
        <w:t>. The evaluation</w:t>
      </w:r>
      <w:r w:rsidR="00FC067E">
        <w:rPr>
          <w:noProof/>
        </w:rPr>
        <w:t xml:space="preserve"> further noted</w:t>
      </w:r>
      <w:r w:rsidRPr="005B05D0">
        <w:rPr>
          <w:noProof/>
        </w:rPr>
        <w:t xml:space="preserve"> that the use of ITS is increasing</w:t>
      </w:r>
      <w:r w:rsidR="0040621E" w:rsidRPr="005B05D0">
        <w:rPr>
          <w:noProof/>
        </w:rPr>
        <w:t xml:space="preserve"> </w:t>
      </w:r>
      <w:r w:rsidRPr="005B05D0">
        <w:rPr>
          <w:noProof/>
        </w:rPr>
        <w:t xml:space="preserve">but despite improvements, </w:t>
      </w:r>
      <w:r w:rsidR="0040621E" w:rsidRPr="0040621E">
        <w:rPr>
          <w:noProof/>
        </w:rPr>
        <w:t xml:space="preserve">the deployment of ITS is </w:t>
      </w:r>
      <w:r w:rsidRPr="005B05D0">
        <w:rPr>
          <w:noProof/>
        </w:rPr>
        <w:t xml:space="preserve">still often limited </w:t>
      </w:r>
      <w:r w:rsidR="0040621E">
        <w:rPr>
          <w:noProof/>
        </w:rPr>
        <w:t xml:space="preserve">in </w:t>
      </w:r>
      <w:r w:rsidRPr="005B05D0">
        <w:rPr>
          <w:noProof/>
        </w:rPr>
        <w:t xml:space="preserve">geographical scope. There remains a clear need </w:t>
      </w:r>
      <w:r w:rsidR="0040621E">
        <w:rPr>
          <w:noProof/>
        </w:rPr>
        <w:t>to take</w:t>
      </w:r>
      <w:r w:rsidR="0040621E" w:rsidRPr="005B05D0">
        <w:rPr>
          <w:noProof/>
        </w:rPr>
        <w:t xml:space="preserve"> </w:t>
      </w:r>
      <w:r w:rsidRPr="005B05D0">
        <w:rPr>
          <w:noProof/>
        </w:rPr>
        <w:t>further action on interoperability, cooperation</w:t>
      </w:r>
      <w:r w:rsidR="0040621E">
        <w:rPr>
          <w:noProof/>
        </w:rPr>
        <w:t>,</w:t>
      </w:r>
      <w:r w:rsidRPr="005B05D0">
        <w:rPr>
          <w:noProof/>
        </w:rPr>
        <w:t xml:space="preserve"> and data sharing to enable seamless</w:t>
      </w:r>
      <w:r w:rsidR="006F35D5" w:rsidRPr="005B05D0">
        <w:rPr>
          <w:noProof/>
        </w:rPr>
        <w:t xml:space="preserve"> and</w:t>
      </w:r>
      <w:r w:rsidRPr="005B05D0">
        <w:rPr>
          <w:noProof/>
        </w:rPr>
        <w:t xml:space="preserve"> continuous ITS services across the EU.</w:t>
      </w:r>
    </w:p>
    <w:p w14:paraId="134C704A" w14:textId="6C81F093" w:rsidR="00164F5B" w:rsidRPr="005B05D0" w:rsidRDefault="00164F5B" w:rsidP="003632D1">
      <w:pPr>
        <w:rPr>
          <w:noProof/>
        </w:rPr>
      </w:pPr>
      <w:r w:rsidRPr="005B05D0">
        <w:rPr>
          <w:noProof/>
        </w:rPr>
        <w:t xml:space="preserve">In </w:t>
      </w:r>
      <w:r w:rsidR="00101D56">
        <w:rPr>
          <w:noProof/>
        </w:rPr>
        <w:t>October 2019</w:t>
      </w:r>
      <w:r w:rsidRPr="005B05D0">
        <w:rPr>
          <w:noProof/>
        </w:rPr>
        <w:t xml:space="preserve">, the Commission </w:t>
      </w:r>
      <w:r w:rsidR="00101D56">
        <w:rPr>
          <w:noProof/>
        </w:rPr>
        <w:t xml:space="preserve">also released a </w:t>
      </w:r>
      <w:r w:rsidRPr="005B05D0">
        <w:rPr>
          <w:noProof/>
        </w:rPr>
        <w:t>report to the European Parliament and the Council on the implementation of the ITS Directive</w:t>
      </w:r>
      <w:r w:rsidR="00101D56">
        <w:rPr>
          <w:noProof/>
        </w:rPr>
        <w:t>.</w:t>
      </w:r>
      <w:r w:rsidR="00B059F7">
        <w:rPr>
          <w:noProof/>
        </w:rPr>
        <w:t xml:space="preserve"> </w:t>
      </w:r>
      <w:r w:rsidR="00101D56" w:rsidRPr="00101D56">
        <w:rPr>
          <w:noProof/>
        </w:rPr>
        <w:t xml:space="preserve">This report </w:t>
      </w:r>
      <w:r w:rsidRPr="005B05D0">
        <w:rPr>
          <w:noProof/>
        </w:rPr>
        <w:t>highlighted</w:t>
      </w:r>
      <w:r w:rsidR="00101D56">
        <w:rPr>
          <w:noProof/>
        </w:rPr>
        <w:t>: (i)</w:t>
      </w:r>
      <w:r w:rsidRPr="005B05D0">
        <w:rPr>
          <w:noProof/>
        </w:rPr>
        <w:t xml:space="preserve"> the need to further improve coordination </w:t>
      </w:r>
      <w:r w:rsidR="00101D56">
        <w:rPr>
          <w:noProof/>
        </w:rPr>
        <w:t>in</w:t>
      </w:r>
      <w:r w:rsidR="00101D56" w:rsidRPr="005B05D0">
        <w:rPr>
          <w:noProof/>
        </w:rPr>
        <w:t xml:space="preserve"> </w:t>
      </w:r>
      <w:r w:rsidRPr="005B05D0">
        <w:rPr>
          <w:noProof/>
        </w:rPr>
        <w:t>accessibility of data</w:t>
      </w:r>
      <w:r w:rsidR="00101D56">
        <w:rPr>
          <w:noProof/>
        </w:rPr>
        <w:t>;</w:t>
      </w:r>
      <w:r w:rsidR="00101D56" w:rsidRPr="005B05D0">
        <w:rPr>
          <w:noProof/>
        </w:rPr>
        <w:t xml:space="preserve"> </w:t>
      </w:r>
      <w:r w:rsidR="00101D56">
        <w:rPr>
          <w:noProof/>
        </w:rPr>
        <w:t xml:space="preserve">(ii) the need </w:t>
      </w:r>
      <w:r w:rsidRPr="005B05D0">
        <w:rPr>
          <w:noProof/>
        </w:rPr>
        <w:t>to take into account the emergence of new ITS themes and challenges</w:t>
      </w:r>
      <w:r w:rsidR="00101D56">
        <w:rPr>
          <w:noProof/>
        </w:rPr>
        <w:t>; and (iii)</w:t>
      </w:r>
      <w:r w:rsidR="00101D56" w:rsidRPr="005B05D0">
        <w:rPr>
          <w:noProof/>
        </w:rPr>
        <w:t xml:space="preserve"> </w:t>
      </w:r>
      <w:r w:rsidR="00101D56">
        <w:rPr>
          <w:noProof/>
        </w:rPr>
        <w:t>the need to improve</w:t>
      </w:r>
      <w:r w:rsidRPr="005B05D0">
        <w:rPr>
          <w:noProof/>
        </w:rPr>
        <w:t xml:space="preserve"> </w:t>
      </w:r>
      <w:r w:rsidR="00F13C77" w:rsidRPr="005B05D0">
        <w:rPr>
          <w:noProof/>
        </w:rPr>
        <w:t xml:space="preserve">the </w:t>
      </w:r>
      <w:r w:rsidRPr="005B05D0">
        <w:rPr>
          <w:noProof/>
        </w:rPr>
        <w:t>availability of key data types on the whole road transport network</w:t>
      </w:r>
      <w:r w:rsidR="00101D56">
        <w:rPr>
          <w:noProof/>
        </w:rPr>
        <w:t xml:space="preserve"> </w:t>
      </w:r>
      <w:r w:rsidR="00101D56" w:rsidRPr="005B05D0">
        <w:rPr>
          <w:noProof/>
        </w:rPr>
        <w:t xml:space="preserve">(i.e. </w:t>
      </w:r>
      <w:r w:rsidR="00101D56">
        <w:rPr>
          <w:noProof/>
        </w:rPr>
        <w:t xml:space="preserve">by making these data types available </w:t>
      </w:r>
      <w:r w:rsidR="00101D56" w:rsidRPr="005B05D0">
        <w:rPr>
          <w:noProof/>
        </w:rPr>
        <w:t>in digital machine-readable format)</w:t>
      </w:r>
      <w:r w:rsidRPr="005B05D0">
        <w:rPr>
          <w:noProof/>
        </w:rPr>
        <w:t>.</w:t>
      </w:r>
    </w:p>
    <w:p w14:paraId="767C8658" w14:textId="44412768" w:rsidR="00BF75C8" w:rsidRPr="005B05D0" w:rsidRDefault="00824EA3" w:rsidP="003632D1">
      <w:pPr>
        <w:rPr>
          <w:noProof/>
        </w:rPr>
      </w:pPr>
      <w:r w:rsidRPr="005B05D0">
        <w:rPr>
          <w:noProof/>
        </w:rPr>
        <w:t>Therefore</w:t>
      </w:r>
      <w:r w:rsidR="00302C8A" w:rsidRPr="005B05D0">
        <w:rPr>
          <w:noProof/>
        </w:rPr>
        <w:t>,</w:t>
      </w:r>
      <w:r w:rsidRPr="005B05D0">
        <w:rPr>
          <w:noProof/>
        </w:rPr>
        <w:t xml:space="preserve"> this proposal addresses the following problems: </w:t>
      </w:r>
      <w:r w:rsidR="00D47BA3">
        <w:rPr>
          <w:noProof/>
        </w:rPr>
        <w:t>(i) the</w:t>
      </w:r>
      <w:r w:rsidR="00D47BA3" w:rsidRPr="005B05D0">
        <w:rPr>
          <w:noProof/>
        </w:rPr>
        <w:t xml:space="preserve"> </w:t>
      </w:r>
      <w:r w:rsidRPr="005B05D0">
        <w:rPr>
          <w:noProof/>
        </w:rPr>
        <w:t xml:space="preserve">lack of interoperability and </w:t>
      </w:r>
      <w:r w:rsidR="00D47BA3">
        <w:rPr>
          <w:noProof/>
        </w:rPr>
        <w:t xml:space="preserve">lack of </w:t>
      </w:r>
      <w:r w:rsidRPr="005B05D0">
        <w:rPr>
          <w:noProof/>
        </w:rPr>
        <w:t>continuity of applications, systems and services</w:t>
      </w:r>
      <w:r w:rsidR="00D47BA3">
        <w:rPr>
          <w:noProof/>
        </w:rPr>
        <w:t>; (ii) the</w:t>
      </w:r>
      <w:r w:rsidRPr="005B05D0">
        <w:rPr>
          <w:noProof/>
        </w:rPr>
        <w:t xml:space="preserve"> lack of concertation and effective cooperation among stakeholders</w:t>
      </w:r>
      <w:r w:rsidR="00D47BA3">
        <w:rPr>
          <w:noProof/>
        </w:rPr>
        <w:t>;</w:t>
      </w:r>
      <w:r w:rsidR="00D47BA3" w:rsidRPr="005B05D0">
        <w:rPr>
          <w:noProof/>
        </w:rPr>
        <w:t xml:space="preserve"> </w:t>
      </w:r>
      <w:r w:rsidRPr="005B05D0">
        <w:rPr>
          <w:noProof/>
        </w:rPr>
        <w:t xml:space="preserve">and </w:t>
      </w:r>
      <w:r w:rsidR="00D47BA3">
        <w:rPr>
          <w:noProof/>
        </w:rPr>
        <w:t xml:space="preserve">(iii) </w:t>
      </w:r>
      <w:r w:rsidRPr="005B05D0">
        <w:rPr>
          <w:noProof/>
        </w:rPr>
        <w:t>unresolved issues related to the availability and sharing of data supporting ITS services</w:t>
      </w:r>
      <w:r w:rsidR="00A3704C" w:rsidRPr="005B05D0">
        <w:rPr>
          <w:noProof/>
        </w:rPr>
        <w:t>.</w:t>
      </w:r>
      <w:r w:rsidR="00F13C77" w:rsidRPr="005B05D0">
        <w:rPr>
          <w:noProof/>
        </w:rPr>
        <w:t xml:space="preserve"> It achieves this </w:t>
      </w:r>
      <w:r w:rsidR="00D47BA3">
        <w:rPr>
          <w:noProof/>
        </w:rPr>
        <w:t xml:space="preserve">notably </w:t>
      </w:r>
      <w:r w:rsidR="00F13C77" w:rsidRPr="005B05D0">
        <w:rPr>
          <w:noProof/>
        </w:rPr>
        <w:t>by expanding the current scope of the Directive to cover new and emerging challenges, and by allowing essential ITS services</w:t>
      </w:r>
      <w:r w:rsidR="00D47BA3">
        <w:rPr>
          <w:noProof/>
        </w:rPr>
        <w:t xml:space="preserve"> </w:t>
      </w:r>
      <w:r w:rsidR="00D47BA3" w:rsidRPr="00D47BA3">
        <w:rPr>
          <w:noProof/>
        </w:rPr>
        <w:t>to be made mandatory across the EU</w:t>
      </w:r>
      <w:r w:rsidR="00D47BA3">
        <w:rPr>
          <w:noProof/>
        </w:rPr>
        <w:t xml:space="preserve">. The deployment of ITS services will be </w:t>
      </w:r>
      <w:r w:rsidR="00F13C77" w:rsidRPr="005B05D0">
        <w:rPr>
          <w:noProof/>
        </w:rPr>
        <w:t xml:space="preserve">fed by the availability of data necessary to provide reliable information, </w:t>
      </w:r>
      <w:r w:rsidR="00D47BA3">
        <w:rPr>
          <w:noProof/>
        </w:rPr>
        <w:t>thus</w:t>
      </w:r>
      <w:r w:rsidR="00D47BA3" w:rsidRPr="005B05D0">
        <w:rPr>
          <w:noProof/>
        </w:rPr>
        <w:t xml:space="preserve"> </w:t>
      </w:r>
      <w:r w:rsidR="00F13C77" w:rsidRPr="005B05D0">
        <w:rPr>
          <w:noProof/>
        </w:rPr>
        <w:t xml:space="preserve">ensuring that the benefits of digitalisation </w:t>
      </w:r>
      <w:r w:rsidR="00D47BA3">
        <w:rPr>
          <w:noProof/>
        </w:rPr>
        <w:t>in</w:t>
      </w:r>
      <w:r w:rsidR="00D47BA3" w:rsidRPr="005B05D0">
        <w:rPr>
          <w:noProof/>
        </w:rPr>
        <w:t xml:space="preserve"> </w:t>
      </w:r>
      <w:r w:rsidR="00F13C77" w:rsidRPr="005B05D0">
        <w:rPr>
          <w:noProof/>
        </w:rPr>
        <w:t xml:space="preserve">the road sector can be reaped. Additional </w:t>
      </w:r>
      <w:r w:rsidR="00D47BA3">
        <w:rPr>
          <w:noProof/>
        </w:rPr>
        <w:t>rules</w:t>
      </w:r>
      <w:r w:rsidR="00F13C77" w:rsidRPr="005B05D0">
        <w:rPr>
          <w:noProof/>
        </w:rPr>
        <w:t xml:space="preserve"> to improve alignment with current practices and standards will also address the problems</w:t>
      </w:r>
      <w:r w:rsidR="00D47BA3">
        <w:rPr>
          <w:noProof/>
        </w:rPr>
        <w:t xml:space="preserve"> referred to above</w:t>
      </w:r>
      <w:r w:rsidR="00F13C77" w:rsidRPr="005B05D0">
        <w:rPr>
          <w:noProof/>
        </w:rPr>
        <w:t>.</w:t>
      </w:r>
    </w:p>
    <w:p w14:paraId="223AD867" w14:textId="77777777" w:rsidR="00D94544" w:rsidRPr="002D5EE2" w:rsidRDefault="00D94544" w:rsidP="00D13454">
      <w:pPr>
        <w:pStyle w:val="ManualHeading2"/>
        <w:rPr>
          <w:rFonts w:eastAsia="Arial Unicode MS"/>
          <w:noProof/>
          <w:color w:val="000000"/>
          <w:u w:color="000000"/>
          <w:bdr w:val="nil"/>
          <w:lang w:val="en-US" w:eastAsia="en-GB"/>
        </w:rPr>
      </w:pPr>
      <w:r w:rsidRPr="0029266A">
        <w:rPr>
          <w:rFonts w:eastAsia="Arial Unicode MS"/>
          <w:noProof/>
          <w:color w:val="000000"/>
          <w:u w:color="000000"/>
          <w:bdr w:val="nil"/>
          <w:lang w:val="en-US" w:eastAsia="en-GB"/>
        </w:rPr>
        <w:t>•</w:t>
      </w:r>
      <w:r w:rsidRPr="0029266A">
        <w:rPr>
          <w:rFonts w:eastAsia="Arial Unicode MS"/>
          <w:noProof/>
          <w:color w:val="000000"/>
          <w:u w:color="000000"/>
          <w:bdr w:val="nil"/>
          <w:lang w:val="en-US" w:eastAsia="en-GB"/>
        </w:rPr>
        <w:tab/>
      </w:r>
      <w:r w:rsidRPr="00044058">
        <w:rPr>
          <w:rFonts w:eastAsia="Arial Unicode MS"/>
          <w:noProof/>
        </w:rPr>
        <w:t>Consistency with existing policy provisions in the</w:t>
      </w:r>
      <w:r>
        <w:rPr>
          <w:rFonts w:eastAsia="Arial Unicode MS"/>
          <w:noProof/>
        </w:rPr>
        <w:t xml:space="preserve"> </w:t>
      </w:r>
      <w:r w:rsidRPr="002D5EE2">
        <w:rPr>
          <w:rFonts w:eastAsia="Arial Unicode MS"/>
          <w:noProof/>
        </w:rPr>
        <w:t>policy area</w:t>
      </w:r>
    </w:p>
    <w:p w14:paraId="468CB9C4" w14:textId="069925D9" w:rsidR="008D4F82" w:rsidRPr="005B05D0" w:rsidRDefault="008D4F82" w:rsidP="003632D1">
      <w:pPr>
        <w:rPr>
          <w:noProof/>
        </w:rPr>
      </w:pPr>
      <w:r w:rsidRPr="005B05D0">
        <w:rPr>
          <w:noProof/>
        </w:rPr>
        <w:t>This proposal is part of a package of legislative initiatives aim</w:t>
      </w:r>
      <w:r w:rsidR="00303654" w:rsidRPr="005B05D0">
        <w:rPr>
          <w:noProof/>
        </w:rPr>
        <w:t>ed</w:t>
      </w:r>
      <w:r w:rsidRPr="005B05D0">
        <w:rPr>
          <w:noProof/>
        </w:rPr>
        <w:t xml:space="preserve"> at contributing to the goals of decarbonisation, digitalisation and </w:t>
      </w:r>
      <w:r w:rsidR="00D47BA3">
        <w:rPr>
          <w:noProof/>
        </w:rPr>
        <w:t>greater</w:t>
      </w:r>
      <w:r w:rsidR="00D47BA3" w:rsidRPr="005B05D0">
        <w:rPr>
          <w:noProof/>
        </w:rPr>
        <w:t xml:space="preserve"> </w:t>
      </w:r>
      <w:r w:rsidRPr="005B05D0">
        <w:rPr>
          <w:noProof/>
        </w:rPr>
        <w:t xml:space="preserve">resilience </w:t>
      </w:r>
      <w:r w:rsidR="00D47BA3">
        <w:rPr>
          <w:noProof/>
        </w:rPr>
        <w:t>in</w:t>
      </w:r>
      <w:r w:rsidR="00D47BA3" w:rsidRPr="005B05D0">
        <w:rPr>
          <w:noProof/>
        </w:rPr>
        <w:t xml:space="preserve"> </w:t>
      </w:r>
      <w:r w:rsidRPr="005B05D0">
        <w:rPr>
          <w:noProof/>
        </w:rPr>
        <w:t xml:space="preserve">transport infrastructure. </w:t>
      </w:r>
      <w:r w:rsidR="00DA2975">
        <w:rPr>
          <w:noProof/>
        </w:rPr>
        <w:t>In addition</w:t>
      </w:r>
      <w:r w:rsidR="00DA2975" w:rsidRPr="005B05D0">
        <w:rPr>
          <w:noProof/>
        </w:rPr>
        <w:t xml:space="preserve"> </w:t>
      </w:r>
      <w:r w:rsidRPr="005B05D0">
        <w:rPr>
          <w:noProof/>
        </w:rPr>
        <w:t xml:space="preserve">to the revision of the ITS Directive, </w:t>
      </w:r>
      <w:r w:rsidR="00D32224" w:rsidRPr="005B05D0">
        <w:rPr>
          <w:noProof/>
        </w:rPr>
        <w:t xml:space="preserve">this package includes </w:t>
      </w:r>
      <w:r w:rsidRPr="005B05D0">
        <w:rPr>
          <w:noProof/>
        </w:rPr>
        <w:t>the rev</w:t>
      </w:r>
      <w:r w:rsidR="00303654" w:rsidRPr="005B05D0">
        <w:rPr>
          <w:noProof/>
        </w:rPr>
        <w:t>ision</w:t>
      </w:r>
      <w:r w:rsidRPr="005B05D0">
        <w:rPr>
          <w:noProof/>
        </w:rPr>
        <w:t xml:space="preserve"> of the TEN-T Regulation</w:t>
      </w:r>
      <w:r w:rsidR="003C0B7E" w:rsidRPr="00882C0B">
        <w:rPr>
          <w:rStyle w:val="FootnoteReference"/>
          <w:rFonts w:eastAsia="Arial Unicode MS"/>
          <w:noProof/>
        </w:rPr>
        <w:footnoteReference w:id="9"/>
      </w:r>
      <w:r w:rsidRPr="005B05D0">
        <w:rPr>
          <w:noProof/>
        </w:rPr>
        <w:t xml:space="preserve"> and of the urban mobility package</w:t>
      </w:r>
      <w:r w:rsidR="00CC3A93" w:rsidRPr="00882C0B">
        <w:rPr>
          <w:rStyle w:val="FootnoteReference"/>
          <w:rFonts w:eastAsia="Arial Unicode MS"/>
          <w:noProof/>
        </w:rPr>
        <w:footnoteReference w:id="10"/>
      </w:r>
      <w:r w:rsidRPr="005B05D0">
        <w:rPr>
          <w:noProof/>
        </w:rPr>
        <w:t xml:space="preserve">, which both include provisions related to the deployment of ITS services. </w:t>
      </w:r>
      <w:r w:rsidR="00D32224" w:rsidRPr="005B05D0">
        <w:rPr>
          <w:noProof/>
        </w:rPr>
        <w:t xml:space="preserve">For instance, the revision of the TEN-T Regulation addresses the means to detect </w:t>
      </w:r>
      <w:r w:rsidR="00302C8A" w:rsidRPr="005B05D0">
        <w:rPr>
          <w:noProof/>
        </w:rPr>
        <w:t xml:space="preserve">road </w:t>
      </w:r>
      <w:r w:rsidR="00D32224" w:rsidRPr="005B05D0">
        <w:rPr>
          <w:noProof/>
        </w:rPr>
        <w:t>safety-related events</w:t>
      </w:r>
      <w:r w:rsidR="00C17E2D" w:rsidRPr="005B05D0">
        <w:rPr>
          <w:noProof/>
        </w:rPr>
        <w:t xml:space="preserve">, </w:t>
      </w:r>
      <w:r w:rsidR="00DA2975">
        <w:rPr>
          <w:noProof/>
        </w:rPr>
        <w:t>making it possible to</w:t>
      </w:r>
      <w:r w:rsidR="00C17E2D" w:rsidRPr="005B05D0">
        <w:rPr>
          <w:noProof/>
        </w:rPr>
        <w:t xml:space="preserve"> provi</w:t>
      </w:r>
      <w:r w:rsidR="00DA2975">
        <w:rPr>
          <w:noProof/>
        </w:rPr>
        <w:t>de</w:t>
      </w:r>
      <w:r w:rsidR="00C17E2D" w:rsidRPr="005B05D0">
        <w:rPr>
          <w:noProof/>
        </w:rPr>
        <w:t xml:space="preserve"> road safety-related traffic information to road users</w:t>
      </w:r>
      <w:r w:rsidR="0026042D" w:rsidRPr="005B05D0">
        <w:rPr>
          <w:noProof/>
        </w:rPr>
        <w:t xml:space="preserve"> </w:t>
      </w:r>
      <w:r w:rsidR="00DA2975">
        <w:rPr>
          <w:noProof/>
        </w:rPr>
        <w:t>under</w:t>
      </w:r>
      <w:r w:rsidR="0026042D" w:rsidRPr="005B05D0">
        <w:rPr>
          <w:noProof/>
        </w:rPr>
        <w:t xml:space="preserve"> this proposal</w:t>
      </w:r>
      <w:r w:rsidR="00C17E2D" w:rsidRPr="005B05D0">
        <w:rPr>
          <w:noProof/>
        </w:rPr>
        <w:t>.</w:t>
      </w:r>
    </w:p>
    <w:p w14:paraId="1FBF5F95" w14:textId="182608D7" w:rsidR="0026042D" w:rsidRPr="005B05D0" w:rsidRDefault="008D4F82" w:rsidP="0026042D">
      <w:pPr>
        <w:pBdr>
          <w:top w:val="nil"/>
          <w:left w:val="nil"/>
          <w:bottom w:val="nil"/>
          <w:right w:val="nil"/>
          <w:between w:val="nil"/>
          <w:bar w:val="nil"/>
        </w:pBdr>
        <w:spacing w:before="0" w:after="240"/>
        <w:rPr>
          <w:noProof/>
        </w:rPr>
      </w:pPr>
      <w:r w:rsidRPr="005B05D0">
        <w:rPr>
          <w:noProof/>
        </w:rPr>
        <w:t xml:space="preserve">This proposal is consistent with the proposal </w:t>
      </w:r>
      <w:r w:rsidR="004308F7" w:rsidRPr="005B05D0">
        <w:rPr>
          <w:noProof/>
        </w:rPr>
        <w:t xml:space="preserve">for </w:t>
      </w:r>
      <w:r w:rsidRPr="005B05D0">
        <w:rPr>
          <w:noProof/>
        </w:rPr>
        <w:t xml:space="preserve">a new </w:t>
      </w:r>
      <w:r w:rsidR="00FD399E">
        <w:rPr>
          <w:noProof/>
        </w:rPr>
        <w:t>r</w:t>
      </w:r>
      <w:r w:rsidR="0026042D" w:rsidRPr="005B05D0">
        <w:rPr>
          <w:noProof/>
        </w:rPr>
        <w:t>egulation</w:t>
      </w:r>
      <w:r w:rsidRPr="005B05D0">
        <w:rPr>
          <w:noProof/>
        </w:rPr>
        <w:t xml:space="preserve"> </w:t>
      </w:r>
      <w:r w:rsidR="00FD399E">
        <w:rPr>
          <w:noProof/>
        </w:rPr>
        <w:t>on</w:t>
      </w:r>
      <w:r w:rsidR="00FD399E" w:rsidRPr="005B05D0">
        <w:rPr>
          <w:noProof/>
        </w:rPr>
        <w:t xml:space="preserve"> </w:t>
      </w:r>
      <w:r w:rsidRPr="005B05D0">
        <w:rPr>
          <w:noProof/>
        </w:rPr>
        <w:t>the deployment of alternative fuels infrastructure presented by the Commission on 14 July 2021</w:t>
      </w:r>
      <w:r w:rsidR="00141E7E" w:rsidRPr="00882C0B">
        <w:rPr>
          <w:rStyle w:val="FootnoteReference"/>
          <w:rFonts w:eastAsia="Arial Unicode MS"/>
          <w:noProof/>
        </w:rPr>
        <w:footnoteReference w:id="11"/>
      </w:r>
      <w:r w:rsidRPr="005B05D0">
        <w:rPr>
          <w:noProof/>
        </w:rPr>
        <w:t xml:space="preserve">, which </w:t>
      </w:r>
      <w:r w:rsidR="00FD399E">
        <w:rPr>
          <w:noProof/>
        </w:rPr>
        <w:t xml:space="preserve">would </w:t>
      </w:r>
      <w:r w:rsidRPr="005B05D0">
        <w:rPr>
          <w:noProof/>
        </w:rPr>
        <w:t>repeal Directive 2014/94/EU of the European Parliament and of the Council on the deployment of alternative fuels infrastructure</w:t>
      </w:r>
      <w:r w:rsidR="00180B1C" w:rsidRPr="00882C0B">
        <w:rPr>
          <w:rStyle w:val="FootnoteReference"/>
          <w:rFonts w:eastAsia="Arial Unicode MS"/>
          <w:noProof/>
        </w:rPr>
        <w:footnoteReference w:id="12"/>
      </w:r>
      <w:r w:rsidR="00346E79" w:rsidRPr="005B05D0">
        <w:rPr>
          <w:noProof/>
        </w:rPr>
        <w:t>. D</w:t>
      </w:r>
      <w:r w:rsidR="0026042D" w:rsidRPr="005B05D0">
        <w:rPr>
          <w:noProof/>
        </w:rPr>
        <w:t xml:space="preserve">ata on recharging and refuelling points made available </w:t>
      </w:r>
      <w:r w:rsidR="000A66B7">
        <w:rPr>
          <w:noProof/>
        </w:rPr>
        <w:t>under</w:t>
      </w:r>
      <w:r w:rsidR="0026042D" w:rsidRPr="005B05D0">
        <w:rPr>
          <w:noProof/>
        </w:rPr>
        <w:t xml:space="preserve"> this </w:t>
      </w:r>
      <w:r w:rsidR="000A66B7">
        <w:rPr>
          <w:noProof/>
        </w:rPr>
        <w:t>r</w:t>
      </w:r>
      <w:r w:rsidR="0026042D" w:rsidRPr="005B05D0">
        <w:rPr>
          <w:noProof/>
        </w:rPr>
        <w:t xml:space="preserve">egulation </w:t>
      </w:r>
      <w:r w:rsidR="000A66B7">
        <w:rPr>
          <w:noProof/>
        </w:rPr>
        <w:t>must</w:t>
      </w:r>
      <w:r w:rsidR="000A66B7" w:rsidRPr="005B05D0">
        <w:rPr>
          <w:noProof/>
        </w:rPr>
        <w:t xml:space="preserve"> </w:t>
      </w:r>
      <w:r w:rsidR="0026042D" w:rsidRPr="005B05D0">
        <w:rPr>
          <w:noProof/>
        </w:rPr>
        <w:t xml:space="preserve">be made accessible through the NAPs </w:t>
      </w:r>
      <w:r w:rsidR="000A66B7">
        <w:rPr>
          <w:noProof/>
        </w:rPr>
        <w:t>set up</w:t>
      </w:r>
      <w:r w:rsidR="000A66B7" w:rsidRPr="005B05D0">
        <w:rPr>
          <w:noProof/>
        </w:rPr>
        <w:t xml:space="preserve"> </w:t>
      </w:r>
      <w:r w:rsidR="004308F7" w:rsidRPr="005B05D0">
        <w:rPr>
          <w:noProof/>
        </w:rPr>
        <w:t>under</w:t>
      </w:r>
      <w:r w:rsidR="0026042D" w:rsidRPr="005B05D0">
        <w:rPr>
          <w:noProof/>
        </w:rPr>
        <w:t xml:space="preserve"> the ITS Directive.</w:t>
      </w:r>
    </w:p>
    <w:p w14:paraId="0BC2A6A2" w14:textId="39FFA47F" w:rsidR="00141E7E" w:rsidRPr="005B05D0" w:rsidRDefault="00141E7E" w:rsidP="0026042D">
      <w:pPr>
        <w:pBdr>
          <w:top w:val="nil"/>
          <w:left w:val="nil"/>
          <w:bottom w:val="nil"/>
          <w:right w:val="nil"/>
          <w:between w:val="nil"/>
          <w:bar w:val="nil"/>
        </w:pBdr>
        <w:spacing w:before="0" w:after="240"/>
        <w:rPr>
          <w:noProof/>
        </w:rPr>
      </w:pPr>
      <w:r w:rsidRPr="005B05D0">
        <w:rPr>
          <w:noProof/>
        </w:rPr>
        <w:t xml:space="preserve">This proposal is also consistent </w:t>
      </w:r>
      <w:r w:rsidR="001603BA" w:rsidRPr="005B05D0">
        <w:rPr>
          <w:noProof/>
        </w:rPr>
        <w:t xml:space="preserve">and aligned </w:t>
      </w:r>
      <w:r w:rsidRPr="005B05D0">
        <w:rPr>
          <w:noProof/>
        </w:rPr>
        <w:t>with other legal frameworks</w:t>
      </w:r>
      <w:r w:rsidR="00CB07AA" w:rsidRPr="00CB07AA">
        <w:rPr>
          <w:noProof/>
        </w:rPr>
        <w:t xml:space="preserve"> </w:t>
      </w:r>
      <w:r w:rsidR="00CB07AA">
        <w:rPr>
          <w:noProof/>
        </w:rPr>
        <w:t>in the area of transport</w:t>
      </w:r>
      <w:r w:rsidRPr="005B05D0">
        <w:rPr>
          <w:noProof/>
        </w:rPr>
        <w:t>, such as the Electronic Freight Transport Information (eFTI) Regulation</w:t>
      </w:r>
      <w:r w:rsidRPr="00882C0B">
        <w:rPr>
          <w:rStyle w:val="FootnoteReference"/>
          <w:rFonts w:eastAsia="Arial Unicode MS"/>
          <w:noProof/>
        </w:rPr>
        <w:footnoteReference w:id="13"/>
      </w:r>
      <w:r w:rsidRPr="005B05D0">
        <w:rPr>
          <w:noProof/>
        </w:rPr>
        <w:t xml:space="preserve"> </w:t>
      </w:r>
      <w:r w:rsidR="00346E79" w:rsidRPr="005B05D0">
        <w:rPr>
          <w:noProof/>
        </w:rPr>
        <w:t>and</w:t>
      </w:r>
      <w:r w:rsidR="00565CA5" w:rsidRPr="005B05D0">
        <w:rPr>
          <w:noProof/>
        </w:rPr>
        <w:t xml:space="preserve"> other legislation related to different transport modes, in particular </w:t>
      </w:r>
      <w:r w:rsidR="0048379D" w:rsidRPr="005B05D0">
        <w:rPr>
          <w:noProof/>
        </w:rPr>
        <w:t>with respect to</w:t>
      </w:r>
      <w:r w:rsidR="00207003" w:rsidRPr="005B05D0">
        <w:rPr>
          <w:noProof/>
        </w:rPr>
        <w:t xml:space="preserve"> </w:t>
      </w:r>
      <w:r w:rsidR="00565CA5" w:rsidRPr="005B05D0">
        <w:rPr>
          <w:noProof/>
        </w:rPr>
        <w:t xml:space="preserve">the definition of the scope in Annex I </w:t>
      </w:r>
      <w:r w:rsidR="0048379D" w:rsidRPr="005B05D0">
        <w:rPr>
          <w:noProof/>
        </w:rPr>
        <w:t xml:space="preserve">of this Directive </w:t>
      </w:r>
      <w:r w:rsidR="00565CA5" w:rsidRPr="005B05D0">
        <w:rPr>
          <w:noProof/>
        </w:rPr>
        <w:t>and the added value to the development of multimodal digital mobility services.</w:t>
      </w:r>
    </w:p>
    <w:p w14:paraId="457F3D9D" w14:textId="5630E998" w:rsidR="008E20BB" w:rsidRDefault="00CB07AA" w:rsidP="003632D1">
      <w:pPr>
        <w:rPr>
          <w:noProof/>
        </w:rPr>
      </w:pPr>
      <w:r>
        <w:rPr>
          <w:noProof/>
        </w:rPr>
        <w:t xml:space="preserve">On </w:t>
      </w:r>
      <w:r w:rsidR="008E20BB" w:rsidRPr="005B05D0">
        <w:rPr>
          <w:noProof/>
        </w:rPr>
        <w:t xml:space="preserve">road safety, the </w:t>
      </w:r>
      <w:r>
        <w:rPr>
          <w:noProof/>
        </w:rPr>
        <w:t>s</w:t>
      </w:r>
      <w:r w:rsidR="0048379D" w:rsidRPr="005B05D0">
        <w:rPr>
          <w:noProof/>
        </w:rPr>
        <w:t xml:space="preserve">trategy </w:t>
      </w:r>
      <w:r w:rsidR="008E20BB" w:rsidRPr="005B05D0">
        <w:rPr>
          <w:noProof/>
        </w:rPr>
        <w:t xml:space="preserve">confirmed the objective </w:t>
      </w:r>
      <w:r>
        <w:rPr>
          <w:noProof/>
        </w:rPr>
        <w:t>of</w:t>
      </w:r>
      <w:r w:rsidRPr="005B05D0">
        <w:rPr>
          <w:noProof/>
        </w:rPr>
        <w:t xml:space="preserve"> </w:t>
      </w:r>
      <w:r w:rsidR="00346E79" w:rsidRPr="005B05D0">
        <w:rPr>
          <w:noProof/>
        </w:rPr>
        <w:t>bring</w:t>
      </w:r>
      <w:r>
        <w:rPr>
          <w:noProof/>
        </w:rPr>
        <w:t>ing</w:t>
      </w:r>
      <w:r w:rsidR="00346E79" w:rsidRPr="005B05D0">
        <w:rPr>
          <w:noProof/>
        </w:rPr>
        <w:t xml:space="preserve"> the</w:t>
      </w:r>
      <w:r w:rsidR="008E20BB" w:rsidRPr="005B05D0">
        <w:rPr>
          <w:noProof/>
        </w:rPr>
        <w:t xml:space="preserve"> death toll for all modes of transport in the EU close to zero by 2050. For road transport, </w:t>
      </w:r>
      <w:r>
        <w:rPr>
          <w:noProof/>
        </w:rPr>
        <w:t xml:space="preserve">there are </w:t>
      </w:r>
      <w:r w:rsidR="008E20BB" w:rsidRPr="005B05D0">
        <w:rPr>
          <w:noProof/>
        </w:rPr>
        <w:t xml:space="preserve">several actions in the scope of the ITS Directive </w:t>
      </w:r>
      <w:r>
        <w:rPr>
          <w:noProof/>
        </w:rPr>
        <w:t xml:space="preserve">that </w:t>
      </w:r>
      <w:r w:rsidR="008E20BB" w:rsidRPr="005B05D0">
        <w:rPr>
          <w:noProof/>
        </w:rPr>
        <w:t>contribute to this ambitious objective</w:t>
      </w:r>
      <w:r>
        <w:rPr>
          <w:noProof/>
        </w:rPr>
        <w:t>. For instance,</w:t>
      </w:r>
      <w:r w:rsidR="008E20BB" w:rsidRPr="005B05D0">
        <w:rPr>
          <w:noProof/>
        </w:rPr>
        <w:t xml:space="preserve"> eCall is a post-crash measure </w:t>
      </w:r>
      <w:r w:rsidR="00FC73FA">
        <w:rPr>
          <w:noProof/>
        </w:rPr>
        <w:t xml:space="preserve">to </w:t>
      </w:r>
      <w:r w:rsidR="008E20BB" w:rsidRPr="005B05D0">
        <w:rPr>
          <w:noProof/>
        </w:rPr>
        <w:t>speed up emergency</w:t>
      </w:r>
      <w:r w:rsidR="00FC73FA">
        <w:rPr>
          <w:noProof/>
        </w:rPr>
        <w:t>-</w:t>
      </w:r>
      <w:r w:rsidR="008E20BB" w:rsidRPr="005B05D0">
        <w:rPr>
          <w:noProof/>
        </w:rPr>
        <w:t>response times and therefore reduce the number of fatalities and severe injuries</w:t>
      </w:r>
      <w:r w:rsidR="00A442C1">
        <w:rPr>
          <w:noProof/>
        </w:rPr>
        <w:t>.</w:t>
      </w:r>
      <w:r w:rsidR="00A442C1" w:rsidRPr="005B05D0">
        <w:rPr>
          <w:noProof/>
        </w:rPr>
        <w:t xml:space="preserve"> </w:t>
      </w:r>
      <w:r w:rsidR="008E20BB" w:rsidRPr="005B05D0">
        <w:rPr>
          <w:noProof/>
        </w:rPr>
        <w:t xml:space="preserve">Cooperative ITS </w:t>
      </w:r>
      <w:r w:rsidR="00901421" w:rsidRPr="005B05D0">
        <w:rPr>
          <w:noProof/>
        </w:rPr>
        <w:t>allow vehicles, transport infrastructure and other road users to communicate and coordinate their actions</w:t>
      </w:r>
      <w:r w:rsidR="00A442C1">
        <w:rPr>
          <w:noProof/>
        </w:rPr>
        <w:t>. Cooperative ITS</w:t>
      </w:r>
      <w:r w:rsidR="00901421" w:rsidRPr="005B05D0">
        <w:rPr>
          <w:noProof/>
        </w:rPr>
        <w:t xml:space="preserve"> ha</w:t>
      </w:r>
      <w:r w:rsidR="00346E79" w:rsidRPr="005B05D0">
        <w:rPr>
          <w:noProof/>
        </w:rPr>
        <w:t>s</w:t>
      </w:r>
      <w:r w:rsidR="00901421" w:rsidRPr="005B05D0">
        <w:rPr>
          <w:noProof/>
        </w:rPr>
        <w:t xml:space="preserve"> </w:t>
      </w:r>
      <w:r w:rsidR="00A442C1">
        <w:rPr>
          <w:noProof/>
        </w:rPr>
        <w:t xml:space="preserve">significant </w:t>
      </w:r>
      <w:r w:rsidR="00901421" w:rsidRPr="005B05D0">
        <w:rPr>
          <w:noProof/>
        </w:rPr>
        <w:t>potential to reduce the number and severity of accidents</w:t>
      </w:r>
      <w:r w:rsidR="00A442C1">
        <w:rPr>
          <w:noProof/>
        </w:rPr>
        <w:t>.</w:t>
      </w:r>
      <w:r w:rsidR="00A442C1" w:rsidRPr="005B05D0">
        <w:rPr>
          <w:noProof/>
        </w:rPr>
        <w:t xml:space="preserve"> </w:t>
      </w:r>
      <w:r w:rsidR="00A442C1">
        <w:rPr>
          <w:noProof/>
        </w:rPr>
        <w:t>I</w:t>
      </w:r>
      <w:r w:rsidR="00901421" w:rsidRPr="005B05D0">
        <w:rPr>
          <w:noProof/>
        </w:rPr>
        <w:t xml:space="preserve">nformation services on safety-related events or for safe and secure truck parking contribute to the safety of road users. </w:t>
      </w:r>
      <w:r w:rsidR="00C10839">
        <w:rPr>
          <w:noProof/>
        </w:rPr>
        <w:t>T</w:t>
      </w:r>
      <w:r w:rsidR="00A442C1">
        <w:rPr>
          <w:noProof/>
        </w:rPr>
        <w:t xml:space="preserve">he </w:t>
      </w:r>
      <w:r w:rsidR="00C10839">
        <w:rPr>
          <w:noProof/>
        </w:rPr>
        <w:t xml:space="preserve">mandatory </w:t>
      </w:r>
      <w:r w:rsidR="00AD696B" w:rsidRPr="005B05D0">
        <w:rPr>
          <w:noProof/>
        </w:rPr>
        <w:t xml:space="preserve">availability of crucial data </w:t>
      </w:r>
      <w:r w:rsidR="00C10839" w:rsidRPr="00C10839">
        <w:rPr>
          <w:noProof/>
        </w:rPr>
        <w:t xml:space="preserve">in machine-readable format </w:t>
      </w:r>
      <w:r w:rsidR="00AD696B" w:rsidRPr="005B05D0">
        <w:rPr>
          <w:noProof/>
        </w:rPr>
        <w:t xml:space="preserve">will improve the functioning of safety services such as </w:t>
      </w:r>
      <w:r w:rsidR="00A442C1">
        <w:rPr>
          <w:noProof/>
        </w:rPr>
        <w:t>i</w:t>
      </w:r>
      <w:r w:rsidR="00AD696B" w:rsidRPr="005B05D0">
        <w:rPr>
          <w:noProof/>
        </w:rPr>
        <w:t xml:space="preserve">ntelligent </w:t>
      </w:r>
      <w:r w:rsidR="00A442C1">
        <w:rPr>
          <w:noProof/>
        </w:rPr>
        <w:t>s</w:t>
      </w:r>
      <w:r w:rsidR="00AD696B" w:rsidRPr="005B05D0">
        <w:rPr>
          <w:noProof/>
        </w:rPr>
        <w:t xml:space="preserve">peed </w:t>
      </w:r>
      <w:r w:rsidR="00A442C1">
        <w:rPr>
          <w:noProof/>
        </w:rPr>
        <w:t>a</w:t>
      </w:r>
      <w:r w:rsidR="00AD696B" w:rsidRPr="005B05D0">
        <w:rPr>
          <w:noProof/>
        </w:rPr>
        <w:t xml:space="preserve">ssistance, and </w:t>
      </w:r>
      <w:r w:rsidR="00A442C1">
        <w:rPr>
          <w:noProof/>
        </w:rPr>
        <w:t>mak</w:t>
      </w:r>
      <w:r w:rsidR="00AD696B" w:rsidRPr="005B05D0">
        <w:rPr>
          <w:noProof/>
        </w:rPr>
        <w:t xml:space="preserve">ing safety-related traffic information services </w:t>
      </w:r>
      <w:r w:rsidR="00A442C1">
        <w:rPr>
          <w:noProof/>
        </w:rPr>
        <w:t xml:space="preserve">mandatory </w:t>
      </w:r>
      <w:r w:rsidR="00AD696B" w:rsidRPr="005B05D0">
        <w:rPr>
          <w:noProof/>
        </w:rPr>
        <w:t>will improve traffic safety.</w:t>
      </w:r>
    </w:p>
    <w:p w14:paraId="6B2BDB21" w14:textId="35F0EDB8" w:rsidR="00EB6EAE" w:rsidRDefault="001D19E7" w:rsidP="003B0059">
      <w:pPr>
        <w:rPr>
          <w:noProof/>
        </w:rPr>
      </w:pPr>
      <w:r>
        <w:rPr>
          <w:noProof/>
        </w:rPr>
        <w:t>This proposal is c</w:t>
      </w:r>
      <w:r w:rsidR="00EB6EAE" w:rsidRPr="003241F7">
        <w:rPr>
          <w:noProof/>
        </w:rPr>
        <w:t>oheren</w:t>
      </w:r>
      <w:r>
        <w:rPr>
          <w:noProof/>
        </w:rPr>
        <w:t>t</w:t>
      </w:r>
      <w:r w:rsidR="00EB6EAE" w:rsidRPr="003241F7">
        <w:rPr>
          <w:noProof/>
        </w:rPr>
        <w:t xml:space="preserve"> with rules on passengers’ rights and obligations, such as the rules </w:t>
      </w:r>
      <w:r w:rsidR="00EB6EAE">
        <w:rPr>
          <w:noProof/>
        </w:rPr>
        <w:t>laid down</w:t>
      </w:r>
      <w:r w:rsidR="00EB6EAE" w:rsidRPr="003241F7">
        <w:rPr>
          <w:noProof/>
        </w:rPr>
        <w:t xml:space="preserve"> </w:t>
      </w:r>
      <w:r w:rsidR="00EB6EAE">
        <w:rPr>
          <w:noProof/>
        </w:rPr>
        <w:t>in</w:t>
      </w:r>
      <w:r w:rsidR="00EB6EAE" w:rsidRPr="003241F7">
        <w:rPr>
          <w:noProof/>
        </w:rPr>
        <w:t xml:space="preserve"> Article 10</w:t>
      </w:r>
      <w:r w:rsidR="00EB6EAE">
        <w:rPr>
          <w:noProof/>
        </w:rPr>
        <w:t xml:space="preserve"> of </w:t>
      </w:r>
      <w:r w:rsidR="00EB6EAE" w:rsidRPr="003241F7">
        <w:rPr>
          <w:noProof/>
        </w:rPr>
        <w:t>Regulation (EU) 2021/782 of the European Parliament and of the Council</w:t>
      </w:r>
      <w:r w:rsidR="00EB6EAE" w:rsidRPr="00083706">
        <w:rPr>
          <w:rStyle w:val="FootnoteReference"/>
          <w:noProof/>
        </w:rPr>
        <w:footnoteReference w:id="14"/>
      </w:r>
      <w:r w:rsidR="00EB6EAE" w:rsidRPr="003241F7">
        <w:rPr>
          <w:noProof/>
        </w:rPr>
        <w:t>.</w:t>
      </w:r>
    </w:p>
    <w:p w14:paraId="76DC7904" w14:textId="7DA127FD" w:rsidR="00D55D17" w:rsidRPr="005B05D0" w:rsidRDefault="00D55D17" w:rsidP="003B0059">
      <w:pPr>
        <w:rPr>
          <w:noProof/>
        </w:rPr>
      </w:pPr>
      <w:r>
        <w:rPr>
          <w:noProof/>
        </w:rPr>
        <w:t xml:space="preserve">In addition, a review of </w:t>
      </w:r>
      <w:r w:rsidRPr="00FD6015">
        <w:rPr>
          <w:noProof/>
        </w:rPr>
        <w:t>Commission Delegated Regulation (EU) 2015/962</w:t>
      </w:r>
      <w:r w:rsidRPr="00FD6015">
        <w:rPr>
          <w:rStyle w:val="FootnoteReference"/>
          <w:noProof/>
        </w:rPr>
        <w:footnoteReference w:id="15"/>
      </w:r>
      <w:r w:rsidRPr="00FD6015">
        <w:rPr>
          <w:rStyle w:val="FootnoteReference"/>
          <w:noProof/>
        </w:rPr>
        <w:t xml:space="preserve"> </w:t>
      </w:r>
      <w:r w:rsidRPr="00FD6015">
        <w:rPr>
          <w:noProof/>
        </w:rPr>
        <w:t xml:space="preserve">on </w:t>
      </w:r>
      <w:r w:rsidRPr="008F5C1A">
        <w:rPr>
          <w:noProof/>
        </w:rPr>
        <w:t>the provision of EU-wide real-time traffic information service</w:t>
      </w:r>
      <w:r>
        <w:rPr>
          <w:noProof/>
        </w:rPr>
        <w:t xml:space="preserve"> </w:t>
      </w:r>
      <w:r w:rsidRPr="00FD6015">
        <w:rPr>
          <w:noProof/>
        </w:rPr>
        <w:t xml:space="preserve">is </w:t>
      </w:r>
      <w:r>
        <w:rPr>
          <w:noProof/>
        </w:rPr>
        <w:t xml:space="preserve">currently </w:t>
      </w:r>
      <w:r w:rsidRPr="00FD6015">
        <w:rPr>
          <w:noProof/>
        </w:rPr>
        <w:t>ongoing</w:t>
      </w:r>
      <w:r>
        <w:rPr>
          <w:rStyle w:val="FootnoteReference"/>
          <w:noProof/>
        </w:rPr>
        <w:footnoteReference w:id="16"/>
      </w:r>
      <w:r w:rsidRPr="00FD6015">
        <w:rPr>
          <w:noProof/>
        </w:rPr>
        <w:t xml:space="preserve">. </w:t>
      </w:r>
      <w:r>
        <w:rPr>
          <w:noProof/>
        </w:rPr>
        <w:t xml:space="preserve">That </w:t>
      </w:r>
      <w:r w:rsidRPr="00FD6015">
        <w:rPr>
          <w:noProof/>
        </w:rPr>
        <w:t xml:space="preserve">upcoming </w:t>
      </w:r>
      <w:r>
        <w:rPr>
          <w:noProof/>
        </w:rPr>
        <w:t xml:space="preserve">revision is </w:t>
      </w:r>
      <w:r w:rsidRPr="00FD6015">
        <w:rPr>
          <w:noProof/>
        </w:rPr>
        <w:t xml:space="preserve">expected to </w:t>
      </w:r>
      <w:r>
        <w:rPr>
          <w:noProof/>
        </w:rPr>
        <w:t xml:space="preserve">identify crucial data types and </w:t>
      </w:r>
      <w:r w:rsidRPr="00FD6015">
        <w:rPr>
          <w:noProof/>
        </w:rPr>
        <w:t xml:space="preserve">introduce certain new crucial data types related to </w:t>
      </w:r>
      <w:r>
        <w:rPr>
          <w:noProof/>
        </w:rPr>
        <w:t xml:space="preserve">traffic regulations: (i) </w:t>
      </w:r>
      <w:r w:rsidRPr="00CD3EB6">
        <w:rPr>
          <w:noProof/>
        </w:rPr>
        <w:t>weight/length/width/height restrictions</w:t>
      </w:r>
      <w:r>
        <w:rPr>
          <w:noProof/>
        </w:rPr>
        <w:t xml:space="preserve">; (ii) </w:t>
      </w:r>
      <w:r w:rsidRPr="00FD6015">
        <w:rPr>
          <w:noProof/>
        </w:rPr>
        <w:t>one-way streets; and (iii) boundaries of restrictions, prohibitions or obligations with zonal validity, current access status and conditions for circulation in regulated traffic zones</w:t>
      </w:r>
      <w:r>
        <w:rPr>
          <w:noProof/>
        </w:rPr>
        <w:t>. This proposal is consistent with the expected changes to the delegated act. Additionally, because of the importance of those three additional data points, once the new delegated act has been adopted, it will be appropriate to consider their inclusion in the list of the data types whose availability and provision is to be made mandatory.</w:t>
      </w:r>
    </w:p>
    <w:p w14:paraId="3D6B82AE" w14:textId="73DAED18" w:rsidR="00D94544" w:rsidRPr="002D5EE2" w:rsidRDefault="00D94544" w:rsidP="00D13454">
      <w:pPr>
        <w:pStyle w:val="ManualHeading2"/>
        <w:rPr>
          <w:rFonts w:eastAsia="Arial Unicode MS"/>
          <w:noProof/>
        </w:rPr>
      </w:pPr>
      <w:r w:rsidRPr="002D5EE2">
        <w:rPr>
          <w:rFonts w:eastAsia="Arial Unicode MS"/>
          <w:noProof/>
          <w:color w:val="000000"/>
          <w:u w:color="000000"/>
          <w:bdr w:val="nil"/>
          <w:lang w:val="en-US" w:eastAsia="en-GB"/>
        </w:rPr>
        <w:t>•</w:t>
      </w:r>
      <w:r w:rsidRPr="002D5EE2">
        <w:rPr>
          <w:rFonts w:eastAsia="Arial Unicode MS"/>
          <w:noProof/>
          <w:color w:val="000000"/>
          <w:u w:color="000000"/>
          <w:bdr w:val="nil"/>
          <w:lang w:val="en-US" w:eastAsia="en-GB"/>
        </w:rPr>
        <w:tab/>
      </w:r>
      <w:r w:rsidRPr="002D5EE2">
        <w:rPr>
          <w:rFonts w:eastAsia="Arial Unicode MS"/>
          <w:noProof/>
        </w:rPr>
        <w:t>Consistency with other Union policies</w:t>
      </w:r>
    </w:p>
    <w:p w14:paraId="60813476" w14:textId="5F7457AE" w:rsidR="00D94544" w:rsidRPr="005B05D0" w:rsidRDefault="004D03A9" w:rsidP="003632D1">
      <w:pPr>
        <w:rPr>
          <w:noProof/>
        </w:rPr>
      </w:pPr>
      <w:r w:rsidRPr="005B05D0">
        <w:rPr>
          <w:noProof/>
        </w:rPr>
        <w:t xml:space="preserve">The European </w:t>
      </w:r>
      <w:r w:rsidR="00A442C1">
        <w:rPr>
          <w:noProof/>
        </w:rPr>
        <w:t>s</w:t>
      </w:r>
      <w:r w:rsidRPr="005B05D0">
        <w:rPr>
          <w:noProof/>
        </w:rPr>
        <w:t xml:space="preserve">trategy for </w:t>
      </w:r>
      <w:r w:rsidR="00A442C1">
        <w:rPr>
          <w:noProof/>
        </w:rPr>
        <w:t>d</w:t>
      </w:r>
      <w:r w:rsidRPr="005B05D0">
        <w:rPr>
          <w:noProof/>
        </w:rPr>
        <w:t>ata announced the establishment of EU-wide</w:t>
      </w:r>
      <w:r w:rsidR="00A442C1">
        <w:rPr>
          <w:noProof/>
        </w:rPr>
        <w:t>,</w:t>
      </w:r>
      <w:r w:rsidRPr="005B05D0">
        <w:rPr>
          <w:noProof/>
        </w:rPr>
        <w:t xml:space="preserve"> common, interoperable data spaces in strategic economic sectors and domains of public interest</w:t>
      </w:r>
      <w:r w:rsidR="00A442C1">
        <w:rPr>
          <w:noProof/>
        </w:rPr>
        <w:t>. These data spaces</w:t>
      </w:r>
      <w:r w:rsidRPr="005B05D0">
        <w:rPr>
          <w:noProof/>
        </w:rPr>
        <w:t xml:space="preserve"> includ</w:t>
      </w:r>
      <w:r w:rsidR="00A442C1">
        <w:rPr>
          <w:noProof/>
        </w:rPr>
        <w:t>e</w:t>
      </w:r>
      <w:r w:rsidRPr="005B05D0">
        <w:rPr>
          <w:noProof/>
        </w:rPr>
        <w:t xml:space="preserve"> a </w:t>
      </w:r>
      <w:r w:rsidR="00A442C1">
        <w:rPr>
          <w:noProof/>
        </w:rPr>
        <w:t>c</w:t>
      </w:r>
      <w:r w:rsidRPr="005B05D0">
        <w:rPr>
          <w:noProof/>
        </w:rPr>
        <w:t xml:space="preserve">ommon European </w:t>
      </w:r>
      <w:r w:rsidR="00A442C1">
        <w:rPr>
          <w:noProof/>
        </w:rPr>
        <w:t>m</w:t>
      </w:r>
      <w:r w:rsidRPr="005B05D0">
        <w:rPr>
          <w:noProof/>
        </w:rPr>
        <w:t xml:space="preserve">obility </w:t>
      </w:r>
      <w:r w:rsidR="00A442C1">
        <w:rPr>
          <w:noProof/>
        </w:rPr>
        <w:t>d</w:t>
      </w:r>
      <w:r w:rsidRPr="005B05D0">
        <w:rPr>
          <w:noProof/>
        </w:rPr>
        <w:t xml:space="preserve">ata </w:t>
      </w:r>
      <w:r w:rsidR="00A442C1">
        <w:rPr>
          <w:noProof/>
        </w:rPr>
        <w:t>s</w:t>
      </w:r>
      <w:r w:rsidRPr="005B05D0">
        <w:rPr>
          <w:noProof/>
        </w:rPr>
        <w:t xml:space="preserve">pace. The ITS Directive is an important component of the </w:t>
      </w:r>
      <w:r w:rsidR="00A442C1">
        <w:rPr>
          <w:noProof/>
        </w:rPr>
        <w:t>c</w:t>
      </w:r>
      <w:r w:rsidRPr="005B05D0">
        <w:rPr>
          <w:noProof/>
        </w:rPr>
        <w:t xml:space="preserve">ommon European </w:t>
      </w:r>
      <w:r w:rsidR="00A442C1">
        <w:rPr>
          <w:noProof/>
        </w:rPr>
        <w:t>m</w:t>
      </w:r>
      <w:r w:rsidRPr="005B05D0">
        <w:rPr>
          <w:noProof/>
        </w:rPr>
        <w:t xml:space="preserve">obility </w:t>
      </w:r>
      <w:r w:rsidR="00A442C1">
        <w:rPr>
          <w:noProof/>
        </w:rPr>
        <w:t>d</w:t>
      </w:r>
      <w:r w:rsidRPr="005B05D0">
        <w:rPr>
          <w:noProof/>
        </w:rPr>
        <w:t xml:space="preserve">ata </w:t>
      </w:r>
      <w:r w:rsidR="00A442C1">
        <w:rPr>
          <w:noProof/>
        </w:rPr>
        <w:t>s</w:t>
      </w:r>
      <w:r w:rsidRPr="005B05D0">
        <w:rPr>
          <w:noProof/>
        </w:rPr>
        <w:t>pace, as it provides for the availability and accessibility of multimodal traffic and travel data on NAPs.</w:t>
      </w:r>
    </w:p>
    <w:p w14:paraId="57C6783E" w14:textId="4B34E897" w:rsidR="004D03A9" w:rsidRPr="005B05D0" w:rsidRDefault="008F770D" w:rsidP="00D13454">
      <w:pPr>
        <w:pBdr>
          <w:top w:val="nil"/>
          <w:left w:val="nil"/>
          <w:bottom w:val="nil"/>
          <w:right w:val="nil"/>
          <w:between w:val="nil"/>
          <w:bar w:val="nil"/>
        </w:pBdr>
        <w:spacing w:before="0" w:after="240"/>
        <w:rPr>
          <w:noProof/>
        </w:rPr>
      </w:pPr>
      <w:r w:rsidRPr="005B05D0">
        <w:rPr>
          <w:noProof/>
        </w:rPr>
        <w:t>Th</w:t>
      </w:r>
      <w:r w:rsidR="00A442C1">
        <w:rPr>
          <w:noProof/>
        </w:rPr>
        <w:t>e</w:t>
      </w:r>
      <w:r w:rsidRPr="005B05D0">
        <w:rPr>
          <w:noProof/>
        </w:rPr>
        <w:t>s</w:t>
      </w:r>
      <w:r w:rsidR="00A442C1">
        <w:rPr>
          <w:noProof/>
        </w:rPr>
        <w:t>e</w:t>
      </w:r>
      <w:r w:rsidRPr="005B05D0">
        <w:rPr>
          <w:noProof/>
        </w:rPr>
        <w:t xml:space="preserve"> data </w:t>
      </w:r>
      <w:r w:rsidR="00A442C1">
        <w:rPr>
          <w:noProof/>
        </w:rPr>
        <w:t>give</w:t>
      </w:r>
      <w:r w:rsidR="00DF341C" w:rsidRPr="005B05D0">
        <w:rPr>
          <w:noProof/>
        </w:rPr>
        <w:t xml:space="preserve"> particular </w:t>
      </w:r>
      <w:r w:rsidRPr="005B05D0">
        <w:rPr>
          <w:noProof/>
        </w:rPr>
        <w:t>support to advanced driver</w:t>
      </w:r>
      <w:r w:rsidR="00A442C1">
        <w:rPr>
          <w:noProof/>
        </w:rPr>
        <w:t>-</w:t>
      </w:r>
      <w:r w:rsidRPr="005B05D0">
        <w:rPr>
          <w:noProof/>
        </w:rPr>
        <w:t xml:space="preserve">assistance systems, such as the new vehicle systems </w:t>
      </w:r>
      <w:r w:rsidR="00A442C1">
        <w:rPr>
          <w:noProof/>
        </w:rPr>
        <w:t>under</w:t>
      </w:r>
      <w:r w:rsidR="0048379D" w:rsidRPr="005B05D0">
        <w:rPr>
          <w:noProof/>
        </w:rPr>
        <w:t xml:space="preserve"> </w:t>
      </w:r>
      <w:r w:rsidRPr="005B05D0">
        <w:rPr>
          <w:noProof/>
        </w:rPr>
        <w:t>the General Safety Regulation (EU) 2019/2144</w:t>
      </w:r>
      <w:r w:rsidRPr="00882C0B">
        <w:rPr>
          <w:rStyle w:val="FootnoteReference"/>
          <w:rFonts w:eastAsia="Arial Unicode MS"/>
          <w:noProof/>
        </w:rPr>
        <w:footnoteReference w:id="17"/>
      </w:r>
      <w:r w:rsidR="00A442C1" w:rsidRPr="005B05D0">
        <w:rPr>
          <w:noProof/>
        </w:rPr>
        <w:t>.</w:t>
      </w:r>
    </w:p>
    <w:p w14:paraId="73FFD982" w14:textId="02559D84" w:rsidR="001D4B41" w:rsidRDefault="00BA09CA" w:rsidP="00D13454">
      <w:pPr>
        <w:pBdr>
          <w:top w:val="nil"/>
          <w:left w:val="nil"/>
          <w:bottom w:val="nil"/>
          <w:right w:val="nil"/>
          <w:between w:val="nil"/>
          <w:bar w:val="nil"/>
        </w:pBdr>
        <w:spacing w:before="0" w:after="240"/>
        <w:rPr>
          <w:noProof/>
        </w:rPr>
      </w:pPr>
      <w:r w:rsidRPr="005B05D0">
        <w:rPr>
          <w:noProof/>
        </w:rPr>
        <w:t>The proposal has been aligned with other EU legal frameworks such as the General Data Protection Regulation (EU) 2016/679</w:t>
      </w:r>
      <w:r w:rsidR="000A222E" w:rsidRPr="00882C0B">
        <w:rPr>
          <w:rStyle w:val="FootnoteReference"/>
          <w:rFonts w:eastAsia="Arial Unicode MS"/>
          <w:noProof/>
        </w:rPr>
        <w:footnoteReference w:id="18"/>
      </w:r>
      <w:r w:rsidRPr="005B05D0">
        <w:rPr>
          <w:noProof/>
        </w:rPr>
        <w:t>, the e-Privacy Directive 2002/58/EC</w:t>
      </w:r>
      <w:r w:rsidR="00E67B22" w:rsidRPr="00882C0B">
        <w:rPr>
          <w:rStyle w:val="FootnoteReference"/>
          <w:rFonts w:eastAsia="Arial Unicode MS"/>
          <w:noProof/>
        </w:rPr>
        <w:footnoteReference w:id="19"/>
      </w:r>
      <w:r w:rsidR="00F90CD6" w:rsidRPr="005B05D0">
        <w:rPr>
          <w:noProof/>
        </w:rPr>
        <w:t xml:space="preserve"> </w:t>
      </w:r>
      <w:r w:rsidR="000973D2">
        <w:rPr>
          <w:noProof/>
        </w:rPr>
        <w:t>and</w:t>
      </w:r>
      <w:r w:rsidR="000973D2" w:rsidRPr="005B05D0">
        <w:rPr>
          <w:noProof/>
        </w:rPr>
        <w:t xml:space="preserve"> </w:t>
      </w:r>
      <w:r w:rsidRPr="005B05D0">
        <w:rPr>
          <w:noProof/>
        </w:rPr>
        <w:t xml:space="preserve">the </w:t>
      </w:r>
      <w:r w:rsidR="0048379D" w:rsidRPr="005B05D0">
        <w:rPr>
          <w:noProof/>
        </w:rPr>
        <w:t>General Safety Regulation</w:t>
      </w:r>
      <w:r w:rsidRPr="005B05D0">
        <w:rPr>
          <w:noProof/>
        </w:rPr>
        <w:t xml:space="preserve"> (EU) 2019/2144</w:t>
      </w:r>
      <w:r w:rsidR="00642961" w:rsidRPr="00882C0B">
        <w:rPr>
          <w:rStyle w:val="FootnoteReference"/>
          <w:rFonts w:eastAsia="Arial Unicode MS"/>
          <w:noProof/>
        </w:rPr>
        <w:footnoteReference w:id="20"/>
      </w:r>
      <w:r w:rsidR="000973D2" w:rsidRPr="005B05D0">
        <w:rPr>
          <w:noProof/>
        </w:rPr>
        <w:t>.</w:t>
      </w:r>
      <w:r w:rsidR="00B06F77">
        <w:rPr>
          <w:noProof/>
        </w:rPr>
        <w:t xml:space="preserve"> Where appropriate, the measures </w:t>
      </w:r>
      <w:r w:rsidR="00B06F77" w:rsidRPr="00B06F77">
        <w:rPr>
          <w:noProof/>
        </w:rPr>
        <w:t xml:space="preserve">provided for in this </w:t>
      </w:r>
      <w:r w:rsidR="0073622B">
        <w:rPr>
          <w:noProof/>
        </w:rPr>
        <w:t>proposal</w:t>
      </w:r>
      <w:r w:rsidR="00B06F77">
        <w:rPr>
          <w:noProof/>
        </w:rPr>
        <w:t xml:space="preserve"> </w:t>
      </w:r>
      <w:r w:rsidR="007F1434" w:rsidRPr="007F1434">
        <w:rPr>
          <w:noProof/>
        </w:rPr>
        <w:t xml:space="preserve">must take in due account </w:t>
      </w:r>
      <w:r w:rsidR="00B06F77" w:rsidRPr="00B06F77">
        <w:rPr>
          <w:noProof/>
        </w:rPr>
        <w:t xml:space="preserve">the </w:t>
      </w:r>
      <w:r w:rsidR="005C0B35">
        <w:rPr>
          <w:noProof/>
        </w:rPr>
        <w:t>forthcoming</w:t>
      </w:r>
      <w:r w:rsidR="00B06F77" w:rsidRPr="00B06F77">
        <w:rPr>
          <w:noProof/>
        </w:rPr>
        <w:t xml:space="preserve"> Artificial Intelligence Act</w:t>
      </w:r>
      <w:r w:rsidR="00B06F77">
        <w:rPr>
          <w:rStyle w:val="FootnoteReference"/>
          <w:noProof/>
        </w:rPr>
        <w:footnoteReference w:id="21"/>
      </w:r>
      <w:r w:rsidR="00B06F77">
        <w:rPr>
          <w:noProof/>
        </w:rPr>
        <w:t>.</w:t>
      </w:r>
    </w:p>
    <w:p w14:paraId="73B284A3" w14:textId="2A388D87" w:rsidR="00206A6D" w:rsidRPr="005B05D0" w:rsidRDefault="00206A6D" w:rsidP="00D13454">
      <w:pPr>
        <w:pBdr>
          <w:top w:val="nil"/>
          <w:left w:val="nil"/>
          <w:bottom w:val="nil"/>
          <w:right w:val="nil"/>
          <w:between w:val="nil"/>
          <w:bar w:val="nil"/>
        </w:pBdr>
        <w:spacing w:before="0" w:after="240"/>
        <w:rPr>
          <w:noProof/>
        </w:rPr>
      </w:pPr>
      <w:r w:rsidRPr="00206A6D">
        <w:rPr>
          <w:noProof/>
        </w:rPr>
        <w:t>This Directive is supportive to the R&amp;I policies in climate, energy and mobility under the 2021-2027 Research Framework Programme Horizon Europe regarding the research and development of innovative technologies in the field of ITS, Cooperative ITS (C-ITS) and CCAM.</w:t>
      </w:r>
    </w:p>
    <w:p w14:paraId="39483B26" w14:textId="77777777" w:rsidR="00D94544" w:rsidRPr="002D5EE2" w:rsidRDefault="00D94544" w:rsidP="00D13454">
      <w:pPr>
        <w:pStyle w:val="ManualHeading1"/>
        <w:rPr>
          <w:noProof/>
        </w:rPr>
      </w:pPr>
      <w:r w:rsidRPr="002D5EE2">
        <w:rPr>
          <w:noProof/>
        </w:rPr>
        <w:t>2.</w:t>
      </w:r>
      <w:r w:rsidRPr="002D5EE2">
        <w:rPr>
          <w:noProof/>
        </w:rPr>
        <w:tab/>
        <w:t>LEGAL BASIS, SUBSIDIARITY AND PROPORTIONALITY</w:t>
      </w:r>
    </w:p>
    <w:p w14:paraId="23120270" w14:textId="77777777" w:rsidR="00D94544" w:rsidRPr="002D5EE2" w:rsidRDefault="00D94544" w:rsidP="00D13454">
      <w:pPr>
        <w:pStyle w:val="ManualHeading2"/>
        <w:rPr>
          <w:rFonts w:eastAsia="Arial Unicode MS"/>
          <w:noProof/>
          <w:u w:color="000000"/>
          <w:bdr w:val="nil"/>
          <w:lang w:val="en-US" w:eastAsia="en-GB"/>
        </w:rPr>
      </w:pPr>
      <w:r w:rsidRPr="002D5EE2">
        <w:rPr>
          <w:rFonts w:eastAsia="Arial Unicode MS"/>
          <w:noProof/>
          <w:u w:color="000000"/>
          <w:bdr w:val="nil"/>
          <w:lang w:val="en-US" w:eastAsia="en-GB"/>
        </w:rPr>
        <w:t>•</w:t>
      </w:r>
      <w:r w:rsidRPr="002D5EE2">
        <w:rPr>
          <w:rFonts w:eastAsia="Arial Unicode MS"/>
          <w:noProof/>
          <w:u w:color="000000"/>
          <w:bdr w:val="nil"/>
          <w:lang w:val="en-US" w:eastAsia="en-GB"/>
        </w:rPr>
        <w:tab/>
        <w:t>Legal basis</w:t>
      </w:r>
    </w:p>
    <w:p w14:paraId="04F4502B" w14:textId="6680D0BF" w:rsidR="00D94544" w:rsidRPr="00882C0B" w:rsidRDefault="00EB53B4" w:rsidP="003632D1">
      <w:pPr>
        <w:rPr>
          <w:noProof/>
        </w:rPr>
      </w:pPr>
      <w:r w:rsidRPr="005B05D0">
        <w:rPr>
          <w:noProof/>
        </w:rPr>
        <w:t xml:space="preserve">The amendment does not change the legal basis of the ITS Directive, which is Article 91 </w:t>
      </w:r>
      <w:r w:rsidR="0048379D" w:rsidRPr="005B05D0">
        <w:rPr>
          <w:noProof/>
        </w:rPr>
        <w:t xml:space="preserve">of the </w:t>
      </w:r>
      <w:r w:rsidRPr="005B05D0">
        <w:rPr>
          <w:noProof/>
        </w:rPr>
        <w:t>T</w:t>
      </w:r>
      <w:r w:rsidR="0048379D" w:rsidRPr="005B05D0">
        <w:rPr>
          <w:noProof/>
        </w:rPr>
        <w:t xml:space="preserve">reaty on the </w:t>
      </w:r>
      <w:r w:rsidRPr="005B05D0">
        <w:rPr>
          <w:noProof/>
        </w:rPr>
        <w:t>F</w:t>
      </w:r>
      <w:r w:rsidR="0048379D" w:rsidRPr="005B05D0">
        <w:rPr>
          <w:noProof/>
        </w:rPr>
        <w:t xml:space="preserve">unctioning of the European </w:t>
      </w:r>
      <w:r w:rsidRPr="005B05D0">
        <w:rPr>
          <w:noProof/>
        </w:rPr>
        <w:t>U</w:t>
      </w:r>
      <w:r w:rsidR="0048379D" w:rsidRPr="005B05D0">
        <w:rPr>
          <w:noProof/>
        </w:rPr>
        <w:t>nion</w:t>
      </w:r>
      <w:r w:rsidRPr="005B05D0">
        <w:rPr>
          <w:noProof/>
        </w:rPr>
        <w:t>.</w:t>
      </w:r>
    </w:p>
    <w:p w14:paraId="2BB42E0E" w14:textId="77777777" w:rsidR="00D94544" w:rsidRPr="002D5EE2" w:rsidRDefault="00D94544" w:rsidP="00D13454">
      <w:pPr>
        <w:pStyle w:val="ManualHeading2"/>
        <w:rPr>
          <w:rFonts w:eastAsia="Arial Unicode MS"/>
          <w:noProof/>
          <w:u w:color="000000"/>
          <w:bdr w:val="nil"/>
          <w:lang w:val="en-US" w:eastAsia="en-GB"/>
        </w:rPr>
      </w:pPr>
      <w:r w:rsidRPr="002D5EE2">
        <w:rPr>
          <w:rFonts w:eastAsia="Arial Unicode MS"/>
          <w:noProof/>
          <w:u w:color="000000"/>
          <w:bdr w:val="nil"/>
          <w:lang w:val="en-US" w:eastAsia="en-GB"/>
        </w:rPr>
        <w:t>•</w:t>
      </w:r>
      <w:r w:rsidRPr="002D5EE2">
        <w:rPr>
          <w:rFonts w:eastAsia="Arial Unicode MS"/>
          <w:noProof/>
          <w:u w:color="000000"/>
          <w:bdr w:val="nil"/>
          <w:lang w:val="en-US" w:eastAsia="en-GB"/>
        </w:rPr>
        <w:tab/>
        <w:t xml:space="preserve">Subsidiarity (for non-exclusive competence) </w:t>
      </w:r>
    </w:p>
    <w:p w14:paraId="3A579DE9" w14:textId="3F514496" w:rsidR="00480527" w:rsidRPr="005B05D0" w:rsidRDefault="00480527" w:rsidP="003632D1">
      <w:pPr>
        <w:rPr>
          <w:noProof/>
        </w:rPr>
      </w:pPr>
      <w:r w:rsidRPr="005B05D0">
        <w:rPr>
          <w:noProof/>
        </w:rPr>
        <w:t xml:space="preserve">The ITS Directive addresses trans-national aspects </w:t>
      </w:r>
      <w:r w:rsidR="00D439F5">
        <w:rPr>
          <w:noProof/>
        </w:rPr>
        <w:t>of transport</w:t>
      </w:r>
      <w:r w:rsidR="00D439F5" w:rsidRPr="005B05D0">
        <w:rPr>
          <w:noProof/>
        </w:rPr>
        <w:t xml:space="preserve"> </w:t>
      </w:r>
      <w:r w:rsidRPr="005B05D0">
        <w:rPr>
          <w:noProof/>
        </w:rPr>
        <w:t xml:space="preserve">that cannot be satisfactorily addressed by Member States </w:t>
      </w:r>
      <w:r w:rsidR="00D439F5">
        <w:rPr>
          <w:noProof/>
        </w:rPr>
        <w:t>on their own</w:t>
      </w:r>
      <w:r w:rsidRPr="005B05D0">
        <w:rPr>
          <w:noProof/>
        </w:rPr>
        <w:t>, such as the interoperability of equipment a</w:t>
      </w:r>
      <w:r w:rsidR="00D439F5">
        <w:rPr>
          <w:noProof/>
        </w:rPr>
        <w:t>nd</w:t>
      </w:r>
      <w:r w:rsidRPr="005B05D0">
        <w:rPr>
          <w:noProof/>
        </w:rPr>
        <w:t xml:space="preserve"> the strengthening of the internal market for ITS services at the global level</w:t>
      </w:r>
      <w:r w:rsidR="00D439F5">
        <w:rPr>
          <w:noProof/>
        </w:rPr>
        <w:t>. It thus</w:t>
      </w:r>
      <w:r w:rsidRPr="005B05D0">
        <w:rPr>
          <w:noProof/>
        </w:rPr>
        <w:t xml:space="preserve"> contribut</w:t>
      </w:r>
      <w:r w:rsidR="00D439F5">
        <w:rPr>
          <w:noProof/>
        </w:rPr>
        <w:t>es</w:t>
      </w:r>
      <w:r w:rsidRPr="005B05D0">
        <w:rPr>
          <w:noProof/>
        </w:rPr>
        <w:t xml:space="preserve"> to jobs and growth. </w:t>
      </w:r>
    </w:p>
    <w:p w14:paraId="0325AA19" w14:textId="2324A05B" w:rsidR="003307BE" w:rsidRDefault="00BB573A" w:rsidP="003632D1">
      <w:pPr>
        <w:rPr>
          <w:noProof/>
        </w:rPr>
      </w:pPr>
      <w:r>
        <w:rPr>
          <w:noProof/>
        </w:rPr>
        <w:t>According to</w:t>
      </w:r>
      <w:r w:rsidR="00480527" w:rsidRPr="005B05D0">
        <w:rPr>
          <w:noProof/>
        </w:rPr>
        <w:t xml:space="preserve"> the principle of subsidiarity, the use of a directive </w:t>
      </w:r>
      <w:r>
        <w:rPr>
          <w:noProof/>
        </w:rPr>
        <w:t xml:space="preserve">or framework directive </w:t>
      </w:r>
      <w:r w:rsidR="00480527" w:rsidRPr="005B05D0">
        <w:rPr>
          <w:noProof/>
        </w:rPr>
        <w:t xml:space="preserve">such as the ITS Directive remains one of the most appropriate </w:t>
      </w:r>
      <w:r>
        <w:rPr>
          <w:noProof/>
        </w:rPr>
        <w:t>ways</w:t>
      </w:r>
      <w:r w:rsidRPr="005B05D0">
        <w:rPr>
          <w:noProof/>
        </w:rPr>
        <w:t xml:space="preserve"> </w:t>
      </w:r>
      <w:r w:rsidR="00480527" w:rsidRPr="005B05D0">
        <w:rPr>
          <w:noProof/>
        </w:rPr>
        <w:t xml:space="preserve">to achieve the intended purpose. The overarching principles and enabling conditions for ITS implementation are </w:t>
      </w:r>
      <w:r>
        <w:rPr>
          <w:noProof/>
        </w:rPr>
        <w:t xml:space="preserve">set out using </w:t>
      </w:r>
      <w:r w:rsidR="00480527" w:rsidRPr="005B05D0">
        <w:rPr>
          <w:noProof/>
        </w:rPr>
        <w:t xml:space="preserve">specifications developed with the strong involvement of thematic experts nominated by the Member States. </w:t>
      </w:r>
    </w:p>
    <w:p w14:paraId="33C35A08" w14:textId="47A6D807" w:rsidR="00480527" w:rsidRDefault="004D33AD" w:rsidP="003632D1">
      <w:pPr>
        <w:rPr>
          <w:noProof/>
        </w:rPr>
      </w:pPr>
      <w:r>
        <w:rPr>
          <w:noProof/>
        </w:rPr>
        <w:t>The Commission considers that it should be mandatory f</w:t>
      </w:r>
      <w:r w:rsidR="00480527" w:rsidRPr="005B05D0">
        <w:rPr>
          <w:noProof/>
        </w:rPr>
        <w:t>or some data types and ITS services</w:t>
      </w:r>
      <w:r>
        <w:rPr>
          <w:noProof/>
        </w:rPr>
        <w:t xml:space="preserve"> to be made</w:t>
      </w:r>
      <w:r w:rsidR="00480527" w:rsidRPr="005B05D0">
        <w:rPr>
          <w:noProof/>
        </w:rPr>
        <w:t xml:space="preserve"> availab</w:t>
      </w:r>
      <w:r>
        <w:rPr>
          <w:noProof/>
        </w:rPr>
        <w:t>le</w:t>
      </w:r>
      <w:r w:rsidR="00480527" w:rsidRPr="005B05D0">
        <w:rPr>
          <w:noProof/>
        </w:rPr>
        <w:t xml:space="preserve"> and </w:t>
      </w:r>
      <w:r w:rsidRPr="005B05D0">
        <w:rPr>
          <w:noProof/>
        </w:rPr>
        <w:t>provi</w:t>
      </w:r>
      <w:r>
        <w:rPr>
          <w:noProof/>
        </w:rPr>
        <w:t>ded.</w:t>
      </w:r>
      <w:r w:rsidR="00D151AF" w:rsidRPr="005B05D0">
        <w:rPr>
          <w:noProof/>
        </w:rPr>
        <w:t xml:space="preserve"> </w:t>
      </w:r>
      <w:r>
        <w:rPr>
          <w:noProof/>
        </w:rPr>
        <w:t>I</w:t>
      </w:r>
      <w:r w:rsidR="000C76E9" w:rsidRPr="005B05D0">
        <w:rPr>
          <w:noProof/>
        </w:rPr>
        <w:t>nitial</w:t>
      </w:r>
      <w:r w:rsidR="00D151AF" w:rsidRPr="005B05D0">
        <w:rPr>
          <w:noProof/>
        </w:rPr>
        <w:t xml:space="preserve"> lists of such data and services </w:t>
      </w:r>
      <w:r w:rsidR="00346E79" w:rsidRPr="005B05D0">
        <w:rPr>
          <w:noProof/>
        </w:rPr>
        <w:t>are</w:t>
      </w:r>
      <w:r w:rsidR="00D151AF" w:rsidRPr="005B05D0">
        <w:rPr>
          <w:noProof/>
        </w:rPr>
        <w:t xml:space="preserve"> included in the proposal. A mechanism </w:t>
      </w:r>
      <w:r w:rsidR="00CC4499" w:rsidRPr="005B05D0">
        <w:rPr>
          <w:noProof/>
        </w:rPr>
        <w:t xml:space="preserve">for </w:t>
      </w:r>
      <w:r>
        <w:rPr>
          <w:noProof/>
        </w:rPr>
        <w:t xml:space="preserve">updating </w:t>
      </w:r>
      <w:r w:rsidR="00D151AF" w:rsidRPr="005B05D0">
        <w:rPr>
          <w:noProof/>
        </w:rPr>
        <w:t xml:space="preserve">these lists is </w:t>
      </w:r>
      <w:r w:rsidR="00CC4499" w:rsidRPr="005B05D0">
        <w:rPr>
          <w:noProof/>
        </w:rPr>
        <w:t xml:space="preserve">also </w:t>
      </w:r>
      <w:r w:rsidR="00D151AF" w:rsidRPr="005B05D0">
        <w:rPr>
          <w:noProof/>
        </w:rPr>
        <w:t>included in the proposal</w:t>
      </w:r>
      <w:r w:rsidR="00CC4499" w:rsidRPr="005B05D0">
        <w:rPr>
          <w:noProof/>
        </w:rPr>
        <w:t>,</w:t>
      </w:r>
      <w:r w:rsidR="00D151AF" w:rsidRPr="005B05D0">
        <w:rPr>
          <w:noProof/>
        </w:rPr>
        <w:t xml:space="preserve"> </w:t>
      </w:r>
      <w:r w:rsidR="00CC4499" w:rsidRPr="005B05D0">
        <w:rPr>
          <w:noProof/>
        </w:rPr>
        <w:t xml:space="preserve">based on </w:t>
      </w:r>
      <w:r>
        <w:rPr>
          <w:noProof/>
        </w:rPr>
        <w:t xml:space="preserve">a </w:t>
      </w:r>
      <w:r w:rsidR="00CC4499" w:rsidRPr="005B05D0">
        <w:rPr>
          <w:noProof/>
        </w:rPr>
        <w:t xml:space="preserve">strengthened </w:t>
      </w:r>
      <w:r w:rsidR="00D151AF" w:rsidRPr="005B05D0">
        <w:rPr>
          <w:noProof/>
        </w:rPr>
        <w:t xml:space="preserve">consultation of stakeholders and </w:t>
      </w:r>
      <w:r w:rsidR="00CC4499" w:rsidRPr="005B05D0">
        <w:rPr>
          <w:noProof/>
        </w:rPr>
        <w:t xml:space="preserve">formal </w:t>
      </w:r>
      <w:r w:rsidR="00D151AF" w:rsidRPr="005B05D0">
        <w:rPr>
          <w:noProof/>
        </w:rPr>
        <w:t>prior approval from the Member States.</w:t>
      </w:r>
    </w:p>
    <w:p w14:paraId="0ED82416" w14:textId="64CD1B61" w:rsidR="003307BE" w:rsidRPr="005B05D0" w:rsidRDefault="003307BE" w:rsidP="003307BE">
      <w:pPr>
        <w:rPr>
          <w:noProof/>
        </w:rPr>
      </w:pPr>
      <w:r>
        <w:rPr>
          <w:noProof/>
        </w:rPr>
        <w:t>In the framework of its institutional prerogatives, the Commission will also strengthen</w:t>
      </w:r>
      <w:r w:rsidRPr="005B05D0">
        <w:rPr>
          <w:noProof/>
        </w:rPr>
        <w:t xml:space="preserve"> the role of the European ITS Advisory Group, </w:t>
      </w:r>
      <w:r>
        <w:rPr>
          <w:noProof/>
        </w:rPr>
        <w:t>which has</w:t>
      </w:r>
      <w:r w:rsidRPr="005B05D0">
        <w:rPr>
          <w:noProof/>
        </w:rPr>
        <w:t xml:space="preserve"> representatives </w:t>
      </w:r>
      <w:r>
        <w:rPr>
          <w:noProof/>
        </w:rPr>
        <w:t>from</w:t>
      </w:r>
      <w:r w:rsidRPr="005B05D0">
        <w:rPr>
          <w:noProof/>
        </w:rPr>
        <w:t xml:space="preserve"> relevant ITS stakeholders </w:t>
      </w:r>
      <w:r>
        <w:rPr>
          <w:noProof/>
        </w:rPr>
        <w:t xml:space="preserve">from the public and private sector. These stakeholders </w:t>
      </w:r>
      <w:r w:rsidRPr="005B05D0">
        <w:rPr>
          <w:noProof/>
        </w:rPr>
        <w:t xml:space="preserve">advise the Commission on </w:t>
      </w:r>
      <w:r>
        <w:rPr>
          <w:noProof/>
        </w:rPr>
        <w:t xml:space="preserve">the </w:t>
      </w:r>
      <w:r w:rsidRPr="005B05D0">
        <w:rPr>
          <w:noProof/>
        </w:rPr>
        <w:t>business and technical aspects of implement</w:t>
      </w:r>
      <w:r>
        <w:rPr>
          <w:noProof/>
        </w:rPr>
        <w:t>ing</w:t>
      </w:r>
      <w:r w:rsidRPr="005B05D0">
        <w:rPr>
          <w:noProof/>
        </w:rPr>
        <w:t xml:space="preserve"> and deploy</w:t>
      </w:r>
      <w:r>
        <w:rPr>
          <w:noProof/>
        </w:rPr>
        <w:t>ing</w:t>
      </w:r>
      <w:r w:rsidRPr="005B05D0">
        <w:rPr>
          <w:noProof/>
        </w:rPr>
        <w:t xml:space="preserve"> ITS in the EU.</w:t>
      </w:r>
    </w:p>
    <w:p w14:paraId="6861A26C" w14:textId="77777777" w:rsidR="00D94544" w:rsidRDefault="00D94544" w:rsidP="00D13454">
      <w:pPr>
        <w:pStyle w:val="ManualHeading2"/>
        <w:rPr>
          <w:rFonts w:eastAsia="Arial Unicode MS"/>
          <w:noProof/>
          <w:u w:color="000000"/>
          <w:bdr w:val="nil"/>
          <w:lang w:val="en-US" w:eastAsia="en-GB"/>
        </w:rPr>
      </w:pPr>
      <w:r w:rsidRPr="007718A8">
        <w:rPr>
          <w:rFonts w:eastAsia="Arial Unicode MS"/>
          <w:noProof/>
          <w:u w:color="000000"/>
          <w:bdr w:val="nil"/>
          <w:lang w:val="en-US" w:eastAsia="en-GB"/>
        </w:rPr>
        <w:t>•</w:t>
      </w:r>
      <w:r w:rsidRPr="007718A8">
        <w:rPr>
          <w:rFonts w:eastAsia="Arial Unicode MS"/>
          <w:noProof/>
          <w:u w:color="000000"/>
          <w:bdr w:val="nil"/>
          <w:lang w:val="en-US" w:eastAsia="en-GB"/>
        </w:rPr>
        <w:tab/>
        <w:t>Proportionality</w:t>
      </w:r>
    </w:p>
    <w:p w14:paraId="04A0E7F3" w14:textId="1D7953DA" w:rsidR="00D94544" w:rsidRPr="00882C0B" w:rsidRDefault="00AE14EA" w:rsidP="008D192E">
      <w:pPr>
        <w:pBdr>
          <w:top w:val="nil"/>
          <w:left w:val="nil"/>
          <w:bottom w:val="nil"/>
          <w:right w:val="nil"/>
          <w:between w:val="nil"/>
          <w:bar w:val="nil"/>
        </w:pBdr>
        <w:spacing w:before="0" w:after="240"/>
        <w:rPr>
          <w:rFonts w:eastAsia="Arial Unicode MS"/>
          <w:noProof/>
        </w:rPr>
      </w:pPr>
      <w:r>
        <w:rPr>
          <w:noProof/>
          <w:lang w:val="en-US"/>
        </w:rPr>
        <w:t>A</w:t>
      </w:r>
      <w:r w:rsidR="008D192E" w:rsidRPr="005B05D0">
        <w:rPr>
          <w:noProof/>
        </w:rPr>
        <w:t>ccord</w:t>
      </w:r>
      <w:r>
        <w:rPr>
          <w:noProof/>
        </w:rPr>
        <w:t>ing to</w:t>
      </w:r>
      <w:r w:rsidR="008D192E" w:rsidRPr="005B05D0">
        <w:rPr>
          <w:noProof/>
        </w:rPr>
        <w:t xml:space="preserve"> the principle of proportionality, this proposal does not go beyond what is necessary to achieve </w:t>
      </w:r>
      <w:r w:rsidR="0014475E">
        <w:rPr>
          <w:noProof/>
        </w:rPr>
        <w:t>its</w:t>
      </w:r>
      <w:r w:rsidR="0014475E" w:rsidRPr="005B05D0">
        <w:rPr>
          <w:noProof/>
        </w:rPr>
        <w:t xml:space="preserve"> </w:t>
      </w:r>
      <w:r w:rsidR="008D192E" w:rsidRPr="005B05D0">
        <w:rPr>
          <w:noProof/>
        </w:rPr>
        <w:t xml:space="preserve">objectives. </w:t>
      </w:r>
      <w:r w:rsidR="0014475E">
        <w:rPr>
          <w:noProof/>
        </w:rPr>
        <w:t>The Commission considers that a</w:t>
      </w:r>
      <w:r w:rsidR="008D192E" w:rsidRPr="005B05D0">
        <w:rPr>
          <w:noProof/>
        </w:rPr>
        <w:t>ll measures are proportionate in their impacts, as demonstrated in the impact assessment that accompanies this initiative</w:t>
      </w:r>
      <w:r w:rsidR="008D192E" w:rsidRPr="00882C0B">
        <w:rPr>
          <w:rStyle w:val="FootnoteReference"/>
          <w:rFonts w:eastAsia="Arial Unicode MS"/>
          <w:noProof/>
        </w:rPr>
        <w:footnoteReference w:id="22"/>
      </w:r>
      <w:r w:rsidR="008D192E" w:rsidRPr="005B05D0">
        <w:rPr>
          <w:noProof/>
        </w:rPr>
        <w:t>. The proposed intervention</w:t>
      </w:r>
      <w:r w:rsidR="0014475E">
        <w:rPr>
          <w:noProof/>
        </w:rPr>
        <w:t>: (i)</w:t>
      </w:r>
      <w:r w:rsidR="008D192E" w:rsidRPr="005B05D0">
        <w:rPr>
          <w:noProof/>
        </w:rPr>
        <w:t xml:space="preserve"> adapts the scope of the ITS Directive to new and emerging ITS service areas</w:t>
      </w:r>
      <w:r w:rsidR="0014475E">
        <w:rPr>
          <w:noProof/>
        </w:rPr>
        <w:t>; (ii)</w:t>
      </w:r>
      <w:r w:rsidR="0014475E" w:rsidRPr="005B05D0">
        <w:rPr>
          <w:noProof/>
        </w:rPr>
        <w:t xml:space="preserve"> </w:t>
      </w:r>
      <w:r w:rsidR="0014475E">
        <w:rPr>
          <w:noProof/>
        </w:rPr>
        <w:t>strengthens</w:t>
      </w:r>
      <w:r w:rsidR="0014475E" w:rsidRPr="005B05D0" w:rsidDel="0014475E">
        <w:rPr>
          <w:noProof/>
        </w:rPr>
        <w:t xml:space="preserve"> </w:t>
      </w:r>
      <w:r w:rsidR="008D192E" w:rsidRPr="005B05D0">
        <w:rPr>
          <w:noProof/>
        </w:rPr>
        <w:t xml:space="preserve">the roles </w:t>
      </w:r>
      <w:r w:rsidR="0069638F" w:rsidRPr="005B05D0">
        <w:rPr>
          <w:noProof/>
        </w:rPr>
        <w:t xml:space="preserve">of </w:t>
      </w:r>
      <w:r w:rsidR="0014475E">
        <w:rPr>
          <w:noProof/>
        </w:rPr>
        <w:t xml:space="preserve">– </w:t>
      </w:r>
      <w:r w:rsidR="008D192E" w:rsidRPr="005B05D0">
        <w:rPr>
          <w:noProof/>
        </w:rPr>
        <w:t>and coordination between</w:t>
      </w:r>
      <w:r w:rsidR="0014475E">
        <w:rPr>
          <w:noProof/>
        </w:rPr>
        <w:t xml:space="preserve"> –</w:t>
      </w:r>
      <w:r w:rsidR="008D192E" w:rsidRPr="005B05D0">
        <w:rPr>
          <w:noProof/>
        </w:rPr>
        <w:t xml:space="preserve"> stakeholders</w:t>
      </w:r>
      <w:r w:rsidR="0014475E">
        <w:rPr>
          <w:noProof/>
        </w:rPr>
        <w:t>; and (iii)</w:t>
      </w:r>
      <w:r w:rsidR="008D192E" w:rsidRPr="005B05D0">
        <w:rPr>
          <w:noProof/>
        </w:rPr>
        <w:t xml:space="preserve"> mandates the availability of crucial data and provision of essential services.</w:t>
      </w:r>
      <w:r w:rsidR="0069638F" w:rsidRPr="005B05D0">
        <w:rPr>
          <w:noProof/>
        </w:rPr>
        <w:t xml:space="preserve"> This is necessary to adapt the legal framework </w:t>
      </w:r>
      <w:r w:rsidR="0014475E">
        <w:rPr>
          <w:noProof/>
        </w:rPr>
        <w:t xml:space="preserve">for ITS </w:t>
      </w:r>
      <w:r w:rsidR="0069638F" w:rsidRPr="005B05D0">
        <w:rPr>
          <w:noProof/>
        </w:rPr>
        <w:t>to an evolving landscape, a</w:t>
      </w:r>
      <w:r w:rsidR="0014475E">
        <w:rPr>
          <w:noProof/>
        </w:rPr>
        <w:t xml:space="preserve">nd </w:t>
      </w:r>
      <w:r w:rsidR="0069638F" w:rsidRPr="005B05D0">
        <w:rPr>
          <w:noProof/>
        </w:rPr>
        <w:t xml:space="preserve">to ensure the necessary data and services </w:t>
      </w:r>
      <w:r w:rsidR="0014475E">
        <w:rPr>
          <w:noProof/>
        </w:rPr>
        <w:t xml:space="preserve">are available </w:t>
      </w:r>
      <w:r w:rsidR="0069638F" w:rsidRPr="005B05D0">
        <w:rPr>
          <w:noProof/>
        </w:rPr>
        <w:t xml:space="preserve">to support the objectives of the </w:t>
      </w:r>
      <w:r w:rsidR="0014475E">
        <w:rPr>
          <w:noProof/>
        </w:rPr>
        <w:t>s</w:t>
      </w:r>
      <w:r w:rsidR="0069638F" w:rsidRPr="005B05D0">
        <w:rPr>
          <w:noProof/>
        </w:rPr>
        <w:t>trategy.</w:t>
      </w:r>
    </w:p>
    <w:p w14:paraId="2BEEF92B" w14:textId="5292A058" w:rsidR="00D94544" w:rsidRDefault="00D94544" w:rsidP="00D13454">
      <w:pPr>
        <w:pStyle w:val="ManualHeading2"/>
        <w:rPr>
          <w:rFonts w:eastAsia="Arial Unicode MS"/>
          <w:noProof/>
          <w:u w:color="000000"/>
          <w:bdr w:val="nil"/>
          <w:lang w:val="en-US" w:eastAsia="en-GB"/>
        </w:rPr>
      </w:pPr>
      <w:r w:rsidRPr="007718A8">
        <w:rPr>
          <w:rFonts w:eastAsia="Arial Unicode MS"/>
          <w:noProof/>
          <w:u w:color="000000"/>
          <w:bdr w:val="nil"/>
          <w:lang w:val="en-US" w:eastAsia="en-GB"/>
        </w:rPr>
        <w:t>•</w:t>
      </w:r>
      <w:r w:rsidRPr="007718A8">
        <w:rPr>
          <w:rFonts w:eastAsia="Arial Unicode MS"/>
          <w:noProof/>
          <w:u w:color="000000"/>
          <w:bdr w:val="nil"/>
          <w:lang w:val="en-US" w:eastAsia="en-GB"/>
        </w:rPr>
        <w:tab/>
      </w:r>
      <w:r>
        <w:rPr>
          <w:rFonts w:eastAsia="Arial Unicode MS"/>
          <w:noProof/>
          <w:u w:color="000000"/>
          <w:bdr w:val="nil"/>
          <w:lang w:val="en-US" w:eastAsia="en-GB"/>
        </w:rPr>
        <w:t>Choice of instrument</w:t>
      </w:r>
    </w:p>
    <w:p w14:paraId="09D9C0B0" w14:textId="1E490FEF" w:rsidR="00D94544" w:rsidRPr="00882C0B" w:rsidRDefault="00A3704C" w:rsidP="003632D1">
      <w:pPr>
        <w:rPr>
          <w:noProof/>
        </w:rPr>
      </w:pPr>
      <w:r w:rsidRPr="005B05D0">
        <w:rPr>
          <w:noProof/>
        </w:rPr>
        <w:t xml:space="preserve">Due to the limited changes to the </w:t>
      </w:r>
      <w:r w:rsidR="00AE4A2E" w:rsidRPr="005B05D0">
        <w:rPr>
          <w:noProof/>
        </w:rPr>
        <w:t xml:space="preserve">ITS </w:t>
      </w:r>
      <w:r w:rsidRPr="005B05D0">
        <w:rPr>
          <w:noProof/>
        </w:rPr>
        <w:t xml:space="preserve">Directive, </w:t>
      </w:r>
      <w:r w:rsidR="00DB4440">
        <w:rPr>
          <w:noProof/>
        </w:rPr>
        <w:t>the Commission</w:t>
      </w:r>
      <w:r w:rsidR="00DB4440" w:rsidRPr="005B05D0">
        <w:rPr>
          <w:noProof/>
        </w:rPr>
        <w:t xml:space="preserve"> </w:t>
      </w:r>
      <w:r w:rsidR="009B7769" w:rsidRPr="005B05D0">
        <w:rPr>
          <w:noProof/>
        </w:rPr>
        <w:t>consider</w:t>
      </w:r>
      <w:r w:rsidR="00DB4440">
        <w:rPr>
          <w:noProof/>
        </w:rPr>
        <w:t>s</w:t>
      </w:r>
      <w:r w:rsidR="009B7769" w:rsidRPr="005B05D0">
        <w:rPr>
          <w:noProof/>
        </w:rPr>
        <w:t xml:space="preserve"> </w:t>
      </w:r>
      <w:r w:rsidR="00002654" w:rsidRPr="005B05D0">
        <w:rPr>
          <w:noProof/>
        </w:rPr>
        <w:t>that an</w:t>
      </w:r>
      <w:r w:rsidR="009B7769" w:rsidRPr="005B05D0">
        <w:rPr>
          <w:noProof/>
        </w:rPr>
        <w:t xml:space="preserve"> </w:t>
      </w:r>
      <w:r w:rsidR="00002654" w:rsidRPr="005B05D0">
        <w:rPr>
          <w:noProof/>
        </w:rPr>
        <w:t>amendment is the best option for revisi</w:t>
      </w:r>
      <w:r w:rsidR="00DB4440">
        <w:rPr>
          <w:noProof/>
        </w:rPr>
        <w:t>ng</w:t>
      </w:r>
      <w:r w:rsidR="00002654" w:rsidRPr="005B05D0">
        <w:rPr>
          <w:noProof/>
        </w:rPr>
        <w:t xml:space="preserve"> the Directive.</w:t>
      </w:r>
    </w:p>
    <w:p w14:paraId="01C1E028" w14:textId="77777777" w:rsidR="00D94544" w:rsidRPr="00550536" w:rsidRDefault="00D94544" w:rsidP="00D13454">
      <w:pPr>
        <w:pStyle w:val="ManualHeading1"/>
        <w:rPr>
          <w:noProof/>
        </w:rPr>
      </w:pPr>
      <w:r w:rsidRPr="00550536">
        <w:rPr>
          <w:noProof/>
        </w:rPr>
        <w:t>3.</w:t>
      </w:r>
      <w:r w:rsidRPr="00550536">
        <w:rPr>
          <w:noProof/>
        </w:rPr>
        <w:tab/>
        <w:t>RESULTS OF EX-POST EVALUATIONS, STAKEHOLDER CONSULTATIONS AND IMPACT ASSESSMENTS</w:t>
      </w:r>
    </w:p>
    <w:p w14:paraId="05C10533" w14:textId="77777777" w:rsidR="00D94544" w:rsidRDefault="00D94544" w:rsidP="00D13454">
      <w:pPr>
        <w:pStyle w:val="ManualHeading2"/>
        <w:rPr>
          <w:rFonts w:eastAsia="Arial Unicode MS"/>
          <w:noProof/>
          <w:u w:color="000000"/>
          <w:bdr w:val="nil"/>
          <w:lang w:val="en-US" w:eastAsia="en-GB"/>
        </w:rPr>
      </w:pPr>
      <w:r w:rsidRPr="007718A8">
        <w:rPr>
          <w:rFonts w:eastAsia="Arial Unicode MS"/>
          <w:noProof/>
          <w:u w:color="000000"/>
          <w:bdr w:val="nil"/>
          <w:lang w:val="en-US" w:eastAsia="en-GB"/>
        </w:rPr>
        <w:t>•</w:t>
      </w:r>
      <w:r w:rsidRPr="007718A8">
        <w:rPr>
          <w:rFonts w:eastAsia="Arial Unicode MS"/>
          <w:noProof/>
          <w:u w:color="000000"/>
          <w:bdr w:val="nil"/>
          <w:lang w:val="en-US" w:eastAsia="en-GB"/>
        </w:rPr>
        <w:tab/>
      </w:r>
      <w:r w:rsidRPr="003D1CDF">
        <w:rPr>
          <w:rFonts w:eastAsia="Arial Unicode MS"/>
          <w:i/>
          <w:noProof/>
          <w:u w:color="000000"/>
          <w:bdr w:val="nil"/>
          <w:lang w:val="en-US" w:eastAsia="en-GB"/>
        </w:rPr>
        <w:t>Ex-post</w:t>
      </w:r>
      <w:r w:rsidRPr="007718A8">
        <w:rPr>
          <w:rFonts w:eastAsia="Arial Unicode MS"/>
          <w:noProof/>
          <w:u w:color="000000"/>
          <w:bdr w:val="nil"/>
          <w:lang w:val="en-US" w:eastAsia="en-GB"/>
        </w:rPr>
        <w:t xml:space="preserve"> evaluations/fitness checks</w:t>
      </w:r>
      <w:r>
        <w:rPr>
          <w:rFonts w:eastAsia="Arial Unicode MS"/>
          <w:noProof/>
          <w:u w:color="000000"/>
          <w:bdr w:val="nil"/>
          <w:lang w:val="en-US" w:eastAsia="en-GB"/>
        </w:rPr>
        <w:t xml:space="preserve"> of existing legislation</w:t>
      </w:r>
    </w:p>
    <w:p w14:paraId="58F11E84" w14:textId="4C306B8F" w:rsidR="00D13454" w:rsidRPr="005B05D0" w:rsidRDefault="00DF341C" w:rsidP="003632D1">
      <w:pPr>
        <w:rPr>
          <w:noProof/>
        </w:rPr>
      </w:pPr>
      <w:r w:rsidRPr="005B05D0">
        <w:rPr>
          <w:noProof/>
        </w:rPr>
        <w:t xml:space="preserve">The </w:t>
      </w:r>
      <w:r w:rsidR="00CE30D8" w:rsidRPr="005B05D0">
        <w:rPr>
          <w:noProof/>
        </w:rPr>
        <w:t xml:space="preserve">‘REFIT’ </w:t>
      </w:r>
      <w:r w:rsidR="00CE30D8" w:rsidRPr="003D1CDF">
        <w:rPr>
          <w:i/>
          <w:noProof/>
        </w:rPr>
        <w:t>ex-post</w:t>
      </w:r>
      <w:r w:rsidR="00CE30D8" w:rsidRPr="005B05D0">
        <w:rPr>
          <w:noProof/>
        </w:rPr>
        <w:t xml:space="preserve"> </w:t>
      </w:r>
      <w:r w:rsidRPr="005B05D0">
        <w:rPr>
          <w:noProof/>
        </w:rPr>
        <w:t xml:space="preserve">evaluation of the ITS Directive concluded </w:t>
      </w:r>
      <w:r w:rsidR="00D13454" w:rsidRPr="005B05D0">
        <w:rPr>
          <w:noProof/>
        </w:rPr>
        <w:t>that the scope of the ITS Directive is still relevant today, with the identified priority areas still covering the relevant topics, services and data. The Directive and its delegated acts were also consider</w:t>
      </w:r>
      <w:r w:rsidR="00910B93" w:rsidRPr="005B05D0">
        <w:rPr>
          <w:noProof/>
        </w:rPr>
        <w:t>ed</w:t>
      </w:r>
      <w:r w:rsidR="00B5063E" w:rsidRPr="005B05D0">
        <w:rPr>
          <w:noProof/>
        </w:rPr>
        <w:t xml:space="preserve"> by stakeholders </w:t>
      </w:r>
      <w:r w:rsidR="00D13454" w:rsidRPr="005B05D0">
        <w:rPr>
          <w:noProof/>
        </w:rPr>
        <w:t xml:space="preserve">to have </w:t>
      </w:r>
      <w:r w:rsidR="00D0723D">
        <w:rPr>
          <w:noProof/>
        </w:rPr>
        <w:t xml:space="preserve">helped </w:t>
      </w:r>
      <w:r w:rsidR="00B5063E" w:rsidRPr="005B05D0">
        <w:rPr>
          <w:noProof/>
        </w:rPr>
        <w:t>reduc</w:t>
      </w:r>
      <w:r w:rsidR="00D0723D">
        <w:rPr>
          <w:noProof/>
        </w:rPr>
        <w:t>e</w:t>
      </w:r>
      <w:r w:rsidR="00C0119B" w:rsidRPr="005B05D0">
        <w:rPr>
          <w:noProof/>
        </w:rPr>
        <w:t xml:space="preserve"> </w:t>
      </w:r>
      <w:r w:rsidR="00D13454" w:rsidRPr="005B05D0">
        <w:rPr>
          <w:noProof/>
        </w:rPr>
        <w:t>the</w:t>
      </w:r>
      <w:r w:rsidR="00B5063E" w:rsidRPr="005B05D0">
        <w:rPr>
          <w:noProof/>
        </w:rPr>
        <w:t xml:space="preserve"> </w:t>
      </w:r>
      <w:r w:rsidR="00D13454" w:rsidRPr="005B05D0">
        <w:rPr>
          <w:noProof/>
        </w:rPr>
        <w:t>negative externalities of transport.</w:t>
      </w:r>
    </w:p>
    <w:p w14:paraId="352C8623" w14:textId="47620EA4" w:rsidR="002F10FB" w:rsidRPr="005B05D0" w:rsidRDefault="00D13454" w:rsidP="003632D1">
      <w:pPr>
        <w:rPr>
          <w:noProof/>
        </w:rPr>
      </w:pPr>
      <w:r w:rsidRPr="005B05D0">
        <w:rPr>
          <w:noProof/>
        </w:rPr>
        <w:t xml:space="preserve">At the same time, as a result of societal and technological developments, </w:t>
      </w:r>
      <w:r w:rsidR="002F10FB" w:rsidRPr="005B05D0">
        <w:rPr>
          <w:noProof/>
        </w:rPr>
        <w:t xml:space="preserve">the evaluation concluded that </w:t>
      </w:r>
      <w:r w:rsidRPr="005B05D0">
        <w:rPr>
          <w:noProof/>
        </w:rPr>
        <w:t>a number of areas require</w:t>
      </w:r>
      <w:r w:rsidR="006A223A">
        <w:rPr>
          <w:noProof/>
        </w:rPr>
        <w:t>d</w:t>
      </w:r>
      <w:r w:rsidRPr="005B05D0">
        <w:rPr>
          <w:noProof/>
        </w:rPr>
        <w:t xml:space="preserve"> additional attention </w:t>
      </w:r>
      <w:r w:rsidR="006A223A">
        <w:rPr>
          <w:noProof/>
        </w:rPr>
        <w:t>in the future.</w:t>
      </w:r>
      <w:r w:rsidRPr="005B05D0">
        <w:rPr>
          <w:noProof/>
        </w:rPr>
        <w:t xml:space="preserve"> </w:t>
      </w:r>
      <w:r w:rsidR="006A223A">
        <w:rPr>
          <w:noProof/>
        </w:rPr>
        <w:t>I</w:t>
      </w:r>
      <w:r w:rsidRPr="005B05D0">
        <w:rPr>
          <w:noProof/>
        </w:rPr>
        <w:t>n particular</w:t>
      </w:r>
      <w:r w:rsidR="006A223A">
        <w:rPr>
          <w:noProof/>
        </w:rPr>
        <w:t>,</w:t>
      </w:r>
      <w:r w:rsidRPr="005B05D0">
        <w:rPr>
          <w:noProof/>
        </w:rPr>
        <w:t xml:space="preserve"> </w:t>
      </w:r>
      <w:r w:rsidR="006A223A">
        <w:rPr>
          <w:noProof/>
        </w:rPr>
        <w:t xml:space="preserve">the evaluation </w:t>
      </w:r>
      <w:r w:rsidR="004E51E9">
        <w:rPr>
          <w:noProof/>
        </w:rPr>
        <w:t xml:space="preserve">considered </w:t>
      </w:r>
      <w:r w:rsidR="006A223A">
        <w:rPr>
          <w:noProof/>
        </w:rPr>
        <w:t>that</w:t>
      </w:r>
      <w:r w:rsidR="006A223A" w:rsidRPr="005B05D0">
        <w:rPr>
          <w:noProof/>
        </w:rPr>
        <w:t xml:space="preserve"> </w:t>
      </w:r>
      <w:r w:rsidRPr="005B05D0">
        <w:rPr>
          <w:noProof/>
        </w:rPr>
        <w:t>cooperative</w:t>
      </w:r>
      <w:r w:rsidR="001130D7">
        <w:rPr>
          <w:noProof/>
        </w:rPr>
        <w:t>,</w:t>
      </w:r>
      <w:r w:rsidRPr="005B05D0">
        <w:rPr>
          <w:noProof/>
        </w:rPr>
        <w:t xml:space="preserve"> </w:t>
      </w:r>
      <w:r w:rsidR="001130D7">
        <w:rPr>
          <w:noProof/>
        </w:rPr>
        <w:t>connected</w:t>
      </w:r>
      <w:r w:rsidR="001130D7" w:rsidRPr="005B05D0">
        <w:rPr>
          <w:noProof/>
        </w:rPr>
        <w:t xml:space="preserve"> </w:t>
      </w:r>
      <w:r w:rsidRPr="005B05D0">
        <w:rPr>
          <w:noProof/>
        </w:rPr>
        <w:t>and automated mobility</w:t>
      </w:r>
      <w:r w:rsidR="006A223A">
        <w:rPr>
          <w:noProof/>
        </w:rPr>
        <w:t xml:space="preserve"> required additional attention</w:t>
      </w:r>
      <w:r w:rsidRPr="005B05D0">
        <w:rPr>
          <w:noProof/>
        </w:rPr>
        <w:t xml:space="preserve">. </w:t>
      </w:r>
      <w:r w:rsidR="002F10FB" w:rsidRPr="005B05D0">
        <w:rPr>
          <w:noProof/>
        </w:rPr>
        <w:t xml:space="preserve">Furthermore, </w:t>
      </w:r>
      <w:r w:rsidR="006A223A">
        <w:rPr>
          <w:noProof/>
        </w:rPr>
        <w:t xml:space="preserve">the evaluation expected that </w:t>
      </w:r>
      <w:r w:rsidR="002F10FB" w:rsidRPr="005B05D0">
        <w:rPr>
          <w:noProof/>
        </w:rPr>
        <w:t>e</w:t>
      </w:r>
      <w:r w:rsidR="00910B93" w:rsidRPr="005B05D0">
        <w:rPr>
          <w:noProof/>
        </w:rPr>
        <w:t xml:space="preserve">nsuring availability </w:t>
      </w:r>
      <w:r w:rsidR="002F10FB" w:rsidRPr="005B05D0">
        <w:rPr>
          <w:noProof/>
        </w:rPr>
        <w:t xml:space="preserve">of the relevant data and ITS infrastructure </w:t>
      </w:r>
      <w:r w:rsidR="006A223A">
        <w:rPr>
          <w:noProof/>
        </w:rPr>
        <w:t>would</w:t>
      </w:r>
      <w:r w:rsidR="002F10FB" w:rsidRPr="005B05D0">
        <w:rPr>
          <w:noProof/>
        </w:rPr>
        <w:t xml:space="preserve"> lead to the deploymen</w:t>
      </w:r>
      <w:r w:rsidR="00910B93" w:rsidRPr="005B05D0">
        <w:rPr>
          <w:noProof/>
        </w:rPr>
        <w:t>t</w:t>
      </w:r>
      <w:r w:rsidR="002F10FB" w:rsidRPr="005B05D0">
        <w:rPr>
          <w:noProof/>
        </w:rPr>
        <w:t xml:space="preserve"> of</w:t>
      </w:r>
      <w:r w:rsidR="00910B93" w:rsidRPr="005B05D0">
        <w:rPr>
          <w:noProof/>
        </w:rPr>
        <w:t xml:space="preserve"> continuous EU-wide </w:t>
      </w:r>
      <w:r w:rsidR="002F10FB" w:rsidRPr="005B05D0">
        <w:rPr>
          <w:noProof/>
        </w:rPr>
        <w:t>services</w:t>
      </w:r>
      <w:r w:rsidR="00A05464">
        <w:rPr>
          <w:noProof/>
        </w:rPr>
        <w:t>. The evaluation also concluded that</w:t>
      </w:r>
      <w:r w:rsidR="002F10FB" w:rsidRPr="005B05D0">
        <w:rPr>
          <w:noProof/>
        </w:rPr>
        <w:t xml:space="preserve"> o</w:t>
      </w:r>
      <w:r w:rsidR="00DD6FD1" w:rsidRPr="005B05D0">
        <w:rPr>
          <w:noProof/>
        </w:rPr>
        <w:t>nly a limited</w:t>
      </w:r>
      <w:r w:rsidR="002F10FB" w:rsidRPr="005B05D0">
        <w:rPr>
          <w:noProof/>
        </w:rPr>
        <w:t xml:space="preserve"> number of interoperable ITS services </w:t>
      </w:r>
      <w:r w:rsidR="00A05464" w:rsidRPr="005B05D0">
        <w:rPr>
          <w:noProof/>
        </w:rPr>
        <w:t>ha</w:t>
      </w:r>
      <w:r w:rsidR="00A05464">
        <w:rPr>
          <w:noProof/>
        </w:rPr>
        <w:t>d</w:t>
      </w:r>
      <w:r w:rsidR="00A05464" w:rsidRPr="005B05D0">
        <w:rPr>
          <w:noProof/>
        </w:rPr>
        <w:t xml:space="preserve"> </w:t>
      </w:r>
      <w:r w:rsidR="002F10FB" w:rsidRPr="005B05D0">
        <w:rPr>
          <w:noProof/>
        </w:rPr>
        <w:t>been deployed so far.</w:t>
      </w:r>
      <w:r w:rsidR="0032713C" w:rsidRPr="005B05D0">
        <w:rPr>
          <w:noProof/>
        </w:rPr>
        <w:t xml:space="preserve"> </w:t>
      </w:r>
      <w:r w:rsidR="00B5063E" w:rsidRPr="005B05D0">
        <w:rPr>
          <w:noProof/>
        </w:rPr>
        <w:t>The evaluation highlighted the persistent reluctance to share data</w:t>
      </w:r>
      <w:r w:rsidR="00796345" w:rsidRPr="005B05D0">
        <w:rPr>
          <w:noProof/>
        </w:rPr>
        <w:t>, which</w:t>
      </w:r>
      <w:r w:rsidR="00B5063E" w:rsidRPr="005B05D0">
        <w:rPr>
          <w:noProof/>
        </w:rPr>
        <w:t xml:space="preserve"> continue</w:t>
      </w:r>
      <w:r w:rsidR="00796345" w:rsidRPr="005B05D0">
        <w:rPr>
          <w:noProof/>
        </w:rPr>
        <w:t>s</w:t>
      </w:r>
      <w:r w:rsidR="00B5063E" w:rsidRPr="005B05D0">
        <w:rPr>
          <w:noProof/>
        </w:rPr>
        <w:t xml:space="preserve"> to be a limiting factor</w:t>
      </w:r>
      <w:r w:rsidR="00BD6B8F" w:rsidRPr="005B05D0">
        <w:rPr>
          <w:noProof/>
        </w:rPr>
        <w:t>, and the need to improve cooperation with and between stakeholders</w:t>
      </w:r>
      <w:r w:rsidR="00B5063E" w:rsidRPr="005B05D0">
        <w:rPr>
          <w:noProof/>
        </w:rPr>
        <w:t>.</w:t>
      </w:r>
    </w:p>
    <w:p w14:paraId="0822AF41" w14:textId="7EC30B01" w:rsidR="00D94544" w:rsidRPr="00882C0B" w:rsidRDefault="0032713C" w:rsidP="003632D1">
      <w:pPr>
        <w:rPr>
          <w:noProof/>
        </w:rPr>
      </w:pPr>
      <w:r w:rsidRPr="005B05D0">
        <w:rPr>
          <w:noProof/>
        </w:rPr>
        <w:t xml:space="preserve">The problems that the proposal </w:t>
      </w:r>
      <w:r w:rsidR="00A05464">
        <w:rPr>
          <w:noProof/>
        </w:rPr>
        <w:t xml:space="preserve">seeks to </w:t>
      </w:r>
      <w:r w:rsidRPr="005B05D0">
        <w:rPr>
          <w:noProof/>
        </w:rPr>
        <w:t>address</w:t>
      </w:r>
      <w:r w:rsidR="005D6B9A" w:rsidRPr="005D6B9A">
        <w:rPr>
          <w:noProof/>
        </w:rPr>
        <w:t xml:space="preserve"> </w:t>
      </w:r>
      <w:r w:rsidR="00BD1399">
        <w:rPr>
          <w:noProof/>
        </w:rPr>
        <w:t>were</w:t>
      </w:r>
      <w:r w:rsidR="005D6B9A">
        <w:rPr>
          <w:noProof/>
        </w:rPr>
        <w:t xml:space="preserve"> identified in the evaluation, namely: (i) the </w:t>
      </w:r>
      <w:r w:rsidRPr="005B05D0">
        <w:rPr>
          <w:noProof/>
        </w:rPr>
        <w:t>lack of interoperability and continuity of applications, systems and services</w:t>
      </w:r>
      <w:r w:rsidR="005D6B9A">
        <w:rPr>
          <w:noProof/>
        </w:rPr>
        <w:t>; (ii)</w:t>
      </w:r>
      <w:r w:rsidR="005D6B9A" w:rsidRPr="005B05D0">
        <w:rPr>
          <w:noProof/>
        </w:rPr>
        <w:t xml:space="preserve"> </w:t>
      </w:r>
      <w:r w:rsidR="005D6B9A">
        <w:rPr>
          <w:noProof/>
        </w:rPr>
        <w:t>the</w:t>
      </w:r>
      <w:r w:rsidRPr="005B05D0">
        <w:rPr>
          <w:noProof/>
        </w:rPr>
        <w:t xml:space="preserve"> lack of concertation and effective cooperation among stakeholders</w:t>
      </w:r>
      <w:r w:rsidR="005D6B9A">
        <w:rPr>
          <w:noProof/>
        </w:rPr>
        <w:t>;</w:t>
      </w:r>
      <w:r w:rsidR="005D6B9A" w:rsidRPr="005B05D0">
        <w:rPr>
          <w:noProof/>
        </w:rPr>
        <w:t xml:space="preserve"> </w:t>
      </w:r>
      <w:r w:rsidRPr="005B05D0">
        <w:rPr>
          <w:noProof/>
        </w:rPr>
        <w:t xml:space="preserve">and </w:t>
      </w:r>
      <w:r w:rsidR="005D6B9A">
        <w:rPr>
          <w:noProof/>
        </w:rPr>
        <w:t xml:space="preserve">(iii) the </w:t>
      </w:r>
      <w:r w:rsidRPr="005B05D0">
        <w:rPr>
          <w:noProof/>
        </w:rPr>
        <w:t xml:space="preserve">unresolved issues related to the availability and sharing of data </w:t>
      </w:r>
      <w:r w:rsidR="005D6B9A">
        <w:rPr>
          <w:noProof/>
        </w:rPr>
        <w:t xml:space="preserve">to </w:t>
      </w:r>
      <w:r w:rsidRPr="005B05D0">
        <w:rPr>
          <w:noProof/>
        </w:rPr>
        <w:t>support ITS services.</w:t>
      </w:r>
    </w:p>
    <w:p w14:paraId="35AA0F7B" w14:textId="77777777" w:rsidR="00D94544" w:rsidRDefault="00D94544" w:rsidP="00D13454">
      <w:pPr>
        <w:pStyle w:val="ManualHeading2"/>
        <w:rPr>
          <w:rFonts w:eastAsia="Arial Unicode MS"/>
          <w:noProof/>
          <w:u w:color="000000"/>
          <w:bdr w:val="nil"/>
          <w:lang w:val="en-US" w:eastAsia="en-GB"/>
        </w:rPr>
      </w:pPr>
      <w:r w:rsidRPr="007718A8">
        <w:rPr>
          <w:rFonts w:eastAsia="Arial Unicode MS"/>
          <w:noProof/>
          <w:u w:color="000000"/>
          <w:bdr w:val="nil"/>
          <w:lang w:val="en-US" w:eastAsia="en-GB"/>
        </w:rPr>
        <w:t>•</w:t>
      </w:r>
      <w:r w:rsidRPr="007718A8">
        <w:rPr>
          <w:rFonts w:eastAsia="Arial Unicode MS"/>
          <w:noProof/>
          <w:u w:color="000000"/>
          <w:bdr w:val="nil"/>
          <w:lang w:val="en-US" w:eastAsia="en-GB"/>
        </w:rPr>
        <w:tab/>
        <w:t>Stakeholder consultations</w:t>
      </w:r>
    </w:p>
    <w:p w14:paraId="5820A45E" w14:textId="1B8A1C0D" w:rsidR="00C463EE" w:rsidRPr="005B05D0" w:rsidRDefault="00C463EE" w:rsidP="00F771AA">
      <w:pPr>
        <w:pBdr>
          <w:top w:val="nil"/>
          <w:left w:val="nil"/>
          <w:bottom w:val="nil"/>
          <w:right w:val="nil"/>
          <w:between w:val="nil"/>
          <w:bar w:val="nil"/>
        </w:pBdr>
        <w:spacing w:before="0"/>
        <w:rPr>
          <w:noProof/>
        </w:rPr>
      </w:pPr>
      <w:r w:rsidRPr="005B05D0">
        <w:rPr>
          <w:noProof/>
        </w:rPr>
        <w:t>The consultation process</w:t>
      </w:r>
      <w:r w:rsidRPr="00882C0B">
        <w:rPr>
          <w:rStyle w:val="FootnoteReference"/>
          <w:noProof/>
        </w:rPr>
        <w:footnoteReference w:id="23"/>
      </w:r>
      <w:r w:rsidRPr="005B05D0">
        <w:rPr>
          <w:noProof/>
        </w:rPr>
        <w:t xml:space="preserve"> engaged</w:t>
      </w:r>
      <w:r w:rsidR="002160F3">
        <w:rPr>
          <w:noProof/>
        </w:rPr>
        <w:t xml:space="preserve"> the</w:t>
      </w:r>
      <w:r w:rsidRPr="005B05D0">
        <w:rPr>
          <w:noProof/>
        </w:rPr>
        <w:t xml:space="preserve"> main target groups through </w:t>
      </w:r>
      <w:r w:rsidR="002160F3">
        <w:rPr>
          <w:noProof/>
        </w:rPr>
        <w:t xml:space="preserve">three </w:t>
      </w:r>
      <w:r w:rsidRPr="005B05D0">
        <w:rPr>
          <w:noProof/>
        </w:rPr>
        <w:t>different methods:</w:t>
      </w:r>
      <w:r w:rsidR="002160F3">
        <w:rPr>
          <w:noProof/>
        </w:rPr>
        <w:t xml:space="preserve"> a public consultation, an open public consultation, and targeted consultations. Each of these methods are discussed in the paragraphs below.</w:t>
      </w:r>
    </w:p>
    <w:p w14:paraId="774E9D4F" w14:textId="029917F1" w:rsidR="00C463EE" w:rsidRPr="005B05D0" w:rsidRDefault="0088239F" w:rsidP="00F771AA">
      <w:pPr>
        <w:pBdr>
          <w:top w:val="nil"/>
          <w:left w:val="nil"/>
          <w:bottom w:val="nil"/>
          <w:right w:val="nil"/>
          <w:between w:val="nil"/>
          <w:bar w:val="nil"/>
        </w:pBdr>
        <w:spacing w:before="0"/>
        <w:rPr>
          <w:noProof/>
        </w:rPr>
      </w:pPr>
      <w:r w:rsidRPr="005B05D0">
        <w:rPr>
          <w:noProof/>
        </w:rPr>
        <w:t xml:space="preserve">A public consultation </w:t>
      </w:r>
      <w:r w:rsidR="002160F3">
        <w:rPr>
          <w:noProof/>
        </w:rPr>
        <w:t xml:space="preserve">was held </w:t>
      </w:r>
      <w:r w:rsidRPr="005B05D0">
        <w:rPr>
          <w:noProof/>
        </w:rPr>
        <w:t>on the inception impact assessment (IIA)</w:t>
      </w:r>
      <w:r w:rsidRPr="00882C0B">
        <w:rPr>
          <w:rStyle w:val="FootnoteReference"/>
          <w:noProof/>
        </w:rPr>
        <w:footnoteReference w:id="24"/>
      </w:r>
      <w:r w:rsidRPr="005B05D0">
        <w:rPr>
          <w:noProof/>
        </w:rPr>
        <w:t xml:space="preserve"> for this initiative, running from </w:t>
      </w:r>
      <w:r w:rsidR="007D63DF" w:rsidRPr="005B05D0">
        <w:rPr>
          <w:noProof/>
        </w:rPr>
        <w:t>8</w:t>
      </w:r>
      <w:r w:rsidR="002160F3">
        <w:rPr>
          <w:noProof/>
        </w:rPr>
        <w:t> </w:t>
      </w:r>
      <w:r w:rsidR="007D63DF" w:rsidRPr="005B05D0">
        <w:rPr>
          <w:noProof/>
        </w:rPr>
        <w:t>October</w:t>
      </w:r>
      <w:r w:rsidR="002160F3">
        <w:rPr>
          <w:noProof/>
        </w:rPr>
        <w:t> </w:t>
      </w:r>
      <w:r w:rsidR="007D63DF" w:rsidRPr="005B05D0">
        <w:rPr>
          <w:noProof/>
        </w:rPr>
        <w:t>2020 to 19</w:t>
      </w:r>
      <w:r w:rsidR="002160F3">
        <w:rPr>
          <w:noProof/>
        </w:rPr>
        <w:t> </w:t>
      </w:r>
      <w:r w:rsidR="007D63DF" w:rsidRPr="005B05D0">
        <w:rPr>
          <w:noProof/>
        </w:rPr>
        <w:t>November</w:t>
      </w:r>
      <w:r w:rsidR="002160F3">
        <w:rPr>
          <w:noProof/>
        </w:rPr>
        <w:t> </w:t>
      </w:r>
      <w:r w:rsidR="007D63DF" w:rsidRPr="005B05D0">
        <w:rPr>
          <w:noProof/>
        </w:rPr>
        <w:t>2020</w:t>
      </w:r>
      <w:r w:rsidRPr="005B05D0">
        <w:rPr>
          <w:noProof/>
        </w:rPr>
        <w:t xml:space="preserve">. The Commission received </w:t>
      </w:r>
      <w:r w:rsidR="007D63DF" w:rsidRPr="005B05D0">
        <w:rPr>
          <w:noProof/>
        </w:rPr>
        <w:t>34</w:t>
      </w:r>
      <w:r w:rsidRPr="005B05D0">
        <w:rPr>
          <w:noProof/>
        </w:rPr>
        <w:t xml:space="preserve"> responses</w:t>
      </w:r>
      <w:r w:rsidR="002160F3">
        <w:rPr>
          <w:noProof/>
        </w:rPr>
        <w:t xml:space="preserve"> to this public consultation</w:t>
      </w:r>
      <w:r w:rsidRPr="005B05D0">
        <w:rPr>
          <w:noProof/>
        </w:rPr>
        <w:t>, mostly from companies</w:t>
      </w:r>
      <w:r w:rsidR="002160F3">
        <w:rPr>
          <w:noProof/>
        </w:rPr>
        <w:t>,</w:t>
      </w:r>
      <w:r w:rsidRPr="005B05D0">
        <w:rPr>
          <w:noProof/>
        </w:rPr>
        <w:t xml:space="preserve"> business associations</w:t>
      </w:r>
      <w:r w:rsidR="002B3EE5" w:rsidRPr="005B05D0">
        <w:rPr>
          <w:noProof/>
        </w:rPr>
        <w:t xml:space="preserve"> and public authorities. NGOs, consumer organisations and </w:t>
      </w:r>
      <w:r w:rsidR="002160F3">
        <w:rPr>
          <w:noProof/>
        </w:rPr>
        <w:t>the public</w:t>
      </w:r>
      <w:r w:rsidR="002160F3" w:rsidRPr="005B05D0">
        <w:rPr>
          <w:noProof/>
        </w:rPr>
        <w:t xml:space="preserve"> </w:t>
      </w:r>
      <w:r w:rsidRPr="005B05D0">
        <w:rPr>
          <w:noProof/>
        </w:rPr>
        <w:t>also replied to the IIA</w:t>
      </w:r>
      <w:r w:rsidR="002160F3">
        <w:rPr>
          <w:noProof/>
        </w:rPr>
        <w:t>.</w:t>
      </w:r>
    </w:p>
    <w:p w14:paraId="1DF5E6DF" w14:textId="1985E599" w:rsidR="002B3EE5" w:rsidRPr="005B05D0" w:rsidRDefault="002B3EE5" w:rsidP="00093A0F">
      <w:pPr>
        <w:rPr>
          <w:noProof/>
        </w:rPr>
      </w:pPr>
      <w:r w:rsidRPr="005B05D0">
        <w:rPr>
          <w:noProof/>
        </w:rPr>
        <w:t xml:space="preserve">An </w:t>
      </w:r>
      <w:r w:rsidR="002160F3">
        <w:rPr>
          <w:noProof/>
        </w:rPr>
        <w:t>o</w:t>
      </w:r>
      <w:r w:rsidRPr="005B05D0">
        <w:rPr>
          <w:noProof/>
        </w:rPr>
        <w:t xml:space="preserve">pen </w:t>
      </w:r>
      <w:r w:rsidR="002160F3">
        <w:rPr>
          <w:noProof/>
        </w:rPr>
        <w:t>p</w:t>
      </w:r>
      <w:r w:rsidRPr="005B05D0">
        <w:rPr>
          <w:noProof/>
        </w:rPr>
        <w:t xml:space="preserve">ublic </w:t>
      </w:r>
      <w:r w:rsidR="002160F3">
        <w:rPr>
          <w:noProof/>
        </w:rPr>
        <w:t>c</w:t>
      </w:r>
      <w:r w:rsidRPr="005B05D0">
        <w:rPr>
          <w:noProof/>
        </w:rPr>
        <w:t>onsultation was launched on 3</w:t>
      </w:r>
      <w:r w:rsidR="002160F3">
        <w:rPr>
          <w:noProof/>
        </w:rPr>
        <w:t> </w:t>
      </w:r>
      <w:r w:rsidRPr="005B05D0">
        <w:rPr>
          <w:noProof/>
        </w:rPr>
        <w:t>November</w:t>
      </w:r>
      <w:r w:rsidR="002160F3">
        <w:rPr>
          <w:noProof/>
        </w:rPr>
        <w:t> </w:t>
      </w:r>
      <w:r w:rsidRPr="005B05D0">
        <w:rPr>
          <w:noProof/>
        </w:rPr>
        <w:t>2020 and remained open until 2</w:t>
      </w:r>
      <w:r w:rsidR="002160F3">
        <w:rPr>
          <w:noProof/>
        </w:rPr>
        <w:t> </w:t>
      </w:r>
      <w:r w:rsidRPr="005B05D0">
        <w:rPr>
          <w:noProof/>
        </w:rPr>
        <w:t>February</w:t>
      </w:r>
      <w:r w:rsidR="002160F3">
        <w:rPr>
          <w:noProof/>
        </w:rPr>
        <w:t> </w:t>
      </w:r>
      <w:r w:rsidRPr="005B05D0">
        <w:rPr>
          <w:noProof/>
        </w:rPr>
        <w:t>2021</w:t>
      </w:r>
      <w:r w:rsidR="008D142F" w:rsidRPr="005B05D0">
        <w:rPr>
          <w:noProof/>
        </w:rPr>
        <w:t xml:space="preserve">. </w:t>
      </w:r>
      <w:r w:rsidR="00910B93" w:rsidRPr="005B05D0">
        <w:rPr>
          <w:noProof/>
        </w:rPr>
        <w:t>The questionnaire</w:t>
      </w:r>
      <w:r w:rsidR="002160F3" w:rsidRPr="002160F3">
        <w:rPr>
          <w:noProof/>
        </w:rPr>
        <w:t xml:space="preserve"> </w:t>
      </w:r>
      <w:r w:rsidR="002160F3">
        <w:rPr>
          <w:noProof/>
        </w:rPr>
        <w:t xml:space="preserve">in the open public consultation </w:t>
      </w:r>
      <w:r w:rsidR="00910B93" w:rsidRPr="005B05D0">
        <w:rPr>
          <w:noProof/>
        </w:rPr>
        <w:t>invited stakeholders</w:t>
      </w:r>
      <w:r w:rsidR="002160F3">
        <w:rPr>
          <w:noProof/>
        </w:rPr>
        <w:t>’</w:t>
      </w:r>
      <w:r w:rsidR="00910B93" w:rsidRPr="005B05D0">
        <w:rPr>
          <w:noProof/>
        </w:rPr>
        <w:t xml:space="preserve"> opinions on the key </w:t>
      </w:r>
      <w:r w:rsidR="002160F3">
        <w:rPr>
          <w:noProof/>
        </w:rPr>
        <w:t>aspects</w:t>
      </w:r>
      <w:r w:rsidR="002160F3" w:rsidRPr="005B05D0">
        <w:rPr>
          <w:noProof/>
        </w:rPr>
        <w:t xml:space="preserve"> </w:t>
      </w:r>
      <w:r w:rsidR="00910B93" w:rsidRPr="005B05D0">
        <w:rPr>
          <w:noProof/>
        </w:rPr>
        <w:t xml:space="preserve">of the </w:t>
      </w:r>
      <w:r w:rsidR="002160F3">
        <w:rPr>
          <w:noProof/>
        </w:rPr>
        <w:t>i</w:t>
      </w:r>
      <w:r w:rsidR="00910B93" w:rsidRPr="005B05D0">
        <w:rPr>
          <w:noProof/>
        </w:rPr>
        <w:t xml:space="preserve">mpact </w:t>
      </w:r>
      <w:r w:rsidR="002160F3">
        <w:rPr>
          <w:noProof/>
        </w:rPr>
        <w:t>a</w:t>
      </w:r>
      <w:r w:rsidR="00910B93" w:rsidRPr="005B05D0">
        <w:rPr>
          <w:noProof/>
        </w:rPr>
        <w:t>ssessment</w:t>
      </w:r>
      <w:r w:rsidR="002160F3">
        <w:rPr>
          <w:noProof/>
        </w:rPr>
        <w:t>, namely</w:t>
      </w:r>
      <w:r w:rsidR="00910B93" w:rsidRPr="005B05D0">
        <w:rPr>
          <w:noProof/>
        </w:rPr>
        <w:t xml:space="preserve">: </w:t>
      </w:r>
      <w:r w:rsidR="002160F3">
        <w:rPr>
          <w:noProof/>
        </w:rPr>
        <w:t xml:space="preserve">(i) </w:t>
      </w:r>
      <w:r w:rsidR="00910B93" w:rsidRPr="005B05D0">
        <w:rPr>
          <w:noProof/>
        </w:rPr>
        <w:t>the main problems</w:t>
      </w:r>
      <w:r w:rsidR="002160F3">
        <w:rPr>
          <w:noProof/>
        </w:rPr>
        <w:t xml:space="preserve"> addressed by the impact assessment; (ii)</w:t>
      </w:r>
      <w:r w:rsidR="00910B93" w:rsidRPr="005B05D0">
        <w:rPr>
          <w:noProof/>
        </w:rPr>
        <w:t xml:space="preserve"> the drivers</w:t>
      </w:r>
      <w:r w:rsidR="002160F3">
        <w:rPr>
          <w:noProof/>
        </w:rPr>
        <w:t xml:space="preserve"> of these problems; </w:t>
      </w:r>
      <w:r w:rsidR="007A294F">
        <w:rPr>
          <w:noProof/>
        </w:rPr>
        <w:t>(iii)</w:t>
      </w:r>
      <w:r w:rsidR="00910B93" w:rsidRPr="005B05D0">
        <w:rPr>
          <w:noProof/>
        </w:rPr>
        <w:t xml:space="preserve"> possible policy measures </w:t>
      </w:r>
      <w:r w:rsidR="007A294F">
        <w:rPr>
          <w:noProof/>
        </w:rPr>
        <w:t xml:space="preserve">to address these problems and drivers; (iv) </w:t>
      </w:r>
      <w:r w:rsidR="00910B93" w:rsidRPr="005B05D0">
        <w:rPr>
          <w:noProof/>
        </w:rPr>
        <w:t xml:space="preserve">the likely impacts </w:t>
      </w:r>
      <w:r w:rsidR="007A294F">
        <w:rPr>
          <w:noProof/>
        </w:rPr>
        <w:t xml:space="preserve">of these possible policy measures; </w:t>
      </w:r>
      <w:r w:rsidR="00910B93" w:rsidRPr="005B05D0">
        <w:rPr>
          <w:noProof/>
        </w:rPr>
        <w:t xml:space="preserve">and </w:t>
      </w:r>
      <w:r w:rsidR="007A294F">
        <w:rPr>
          <w:noProof/>
        </w:rPr>
        <w:t xml:space="preserve">(v) </w:t>
      </w:r>
      <w:r w:rsidR="00910B93" w:rsidRPr="005B05D0">
        <w:rPr>
          <w:noProof/>
        </w:rPr>
        <w:t>the relevance of EU</w:t>
      </w:r>
      <w:r w:rsidR="007A294F">
        <w:rPr>
          <w:noProof/>
        </w:rPr>
        <w:t>-</w:t>
      </w:r>
      <w:r w:rsidR="00910B93" w:rsidRPr="005B05D0">
        <w:rPr>
          <w:noProof/>
        </w:rPr>
        <w:t>level action</w:t>
      </w:r>
      <w:r w:rsidR="007A294F">
        <w:rPr>
          <w:noProof/>
        </w:rPr>
        <w:t xml:space="preserve"> to address these problems</w:t>
      </w:r>
      <w:r w:rsidR="00E0142A" w:rsidRPr="005B05D0">
        <w:rPr>
          <w:noProof/>
        </w:rPr>
        <w:t>.</w:t>
      </w:r>
      <w:r w:rsidR="00910B93" w:rsidRPr="005B05D0">
        <w:rPr>
          <w:noProof/>
        </w:rPr>
        <w:t xml:space="preserve"> </w:t>
      </w:r>
      <w:r w:rsidR="008D142F" w:rsidRPr="005B05D0">
        <w:rPr>
          <w:noProof/>
        </w:rPr>
        <w:t>The Commission received 149 responses</w:t>
      </w:r>
      <w:r w:rsidR="00910B93" w:rsidRPr="005B05D0">
        <w:rPr>
          <w:noProof/>
        </w:rPr>
        <w:t xml:space="preserve"> in total</w:t>
      </w:r>
      <w:r w:rsidR="002160F3">
        <w:rPr>
          <w:noProof/>
        </w:rPr>
        <w:t>.</w:t>
      </w:r>
    </w:p>
    <w:p w14:paraId="7DA6C68F" w14:textId="02C75C37" w:rsidR="00910B93" w:rsidRPr="005B05D0" w:rsidRDefault="005A11C8" w:rsidP="00093A0F">
      <w:pPr>
        <w:rPr>
          <w:noProof/>
        </w:rPr>
      </w:pPr>
      <w:r>
        <w:rPr>
          <w:noProof/>
        </w:rPr>
        <w:t>The t</w:t>
      </w:r>
      <w:r w:rsidR="00910B93" w:rsidRPr="005B05D0">
        <w:rPr>
          <w:noProof/>
        </w:rPr>
        <w:t>argeted consultations</w:t>
      </w:r>
      <w:r>
        <w:rPr>
          <w:noProof/>
        </w:rPr>
        <w:t xml:space="preserve"> consisted of four parts, set out in the bullet points below.</w:t>
      </w:r>
    </w:p>
    <w:p w14:paraId="021C5C15" w14:textId="766C1D0E" w:rsidR="00910B93" w:rsidRPr="005B05D0" w:rsidRDefault="00910B93" w:rsidP="00093A0F">
      <w:pPr>
        <w:rPr>
          <w:noProof/>
        </w:rPr>
      </w:pPr>
      <w:r w:rsidRPr="005B05D0">
        <w:rPr>
          <w:noProof/>
        </w:rPr>
        <w:t>- An online survey for all key stakeholder groups was launched on 15</w:t>
      </w:r>
      <w:r w:rsidR="005A11C8">
        <w:rPr>
          <w:noProof/>
        </w:rPr>
        <w:t> </w:t>
      </w:r>
      <w:r w:rsidRPr="005B05D0">
        <w:rPr>
          <w:noProof/>
        </w:rPr>
        <w:t>February</w:t>
      </w:r>
      <w:r w:rsidR="005A11C8">
        <w:rPr>
          <w:noProof/>
        </w:rPr>
        <w:t> </w:t>
      </w:r>
      <w:r w:rsidRPr="005B05D0">
        <w:rPr>
          <w:noProof/>
        </w:rPr>
        <w:t>2021 and remained open until 26</w:t>
      </w:r>
      <w:r w:rsidR="005A11C8">
        <w:rPr>
          <w:noProof/>
        </w:rPr>
        <w:t> </w:t>
      </w:r>
      <w:r w:rsidRPr="005B05D0">
        <w:rPr>
          <w:noProof/>
        </w:rPr>
        <w:t>March</w:t>
      </w:r>
      <w:r w:rsidR="005A11C8">
        <w:rPr>
          <w:noProof/>
        </w:rPr>
        <w:t> </w:t>
      </w:r>
      <w:r w:rsidRPr="005B05D0">
        <w:rPr>
          <w:noProof/>
        </w:rPr>
        <w:t>2021</w:t>
      </w:r>
      <w:r w:rsidR="005A11C8">
        <w:rPr>
          <w:noProof/>
        </w:rPr>
        <w:t>.</w:t>
      </w:r>
    </w:p>
    <w:p w14:paraId="1505361F" w14:textId="7ABFCB5A" w:rsidR="00910B93" w:rsidRPr="005B05D0" w:rsidRDefault="00910B93" w:rsidP="00093A0F">
      <w:pPr>
        <w:rPr>
          <w:noProof/>
        </w:rPr>
      </w:pPr>
      <w:r w:rsidRPr="005B05D0">
        <w:rPr>
          <w:noProof/>
        </w:rPr>
        <w:t>- An interview programme with 53 stakeholders from all key stakeholder groups was launched on 16</w:t>
      </w:r>
      <w:r w:rsidR="005A11C8">
        <w:rPr>
          <w:noProof/>
        </w:rPr>
        <w:t> </w:t>
      </w:r>
      <w:r w:rsidRPr="005B05D0">
        <w:rPr>
          <w:noProof/>
        </w:rPr>
        <w:t>February</w:t>
      </w:r>
      <w:r w:rsidR="005A11C8">
        <w:rPr>
          <w:noProof/>
        </w:rPr>
        <w:t> </w:t>
      </w:r>
      <w:r w:rsidRPr="005B05D0">
        <w:rPr>
          <w:noProof/>
        </w:rPr>
        <w:t>2021 and remained open until 6</w:t>
      </w:r>
      <w:r w:rsidR="005A11C8">
        <w:rPr>
          <w:noProof/>
        </w:rPr>
        <w:t> </w:t>
      </w:r>
      <w:r w:rsidRPr="005B05D0">
        <w:rPr>
          <w:noProof/>
        </w:rPr>
        <w:t>May</w:t>
      </w:r>
      <w:r w:rsidR="005A11C8">
        <w:rPr>
          <w:noProof/>
        </w:rPr>
        <w:t> </w:t>
      </w:r>
      <w:r w:rsidRPr="005B05D0">
        <w:rPr>
          <w:noProof/>
        </w:rPr>
        <w:t>2021. Furthermore, six exploratory interviews with key stakeholders were conducted in the inception phase of the study (November/December 2020</w:t>
      </w:r>
      <w:r w:rsidR="005A11C8" w:rsidRPr="005B05D0">
        <w:rPr>
          <w:noProof/>
        </w:rPr>
        <w:t>)</w:t>
      </w:r>
      <w:r w:rsidR="005A11C8">
        <w:rPr>
          <w:noProof/>
        </w:rPr>
        <w:t>.</w:t>
      </w:r>
    </w:p>
    <w:p w14:paraId="03FA085A" w14:textId="50FC34AE" w:rsidR="00910B93" w:rsidRPr="005B05D0" w:rsidRDefault="00910B93" w:rsidP="00093A0F">
      <w:pPr>
        <w:rPr>
          <w:noProof/>
        </w:rPr>
      </w:pPr>
      <w:r w:rsidRPr="005B05D0">
        <w:rPr>
          <w:noProof/>
        </w:rPr>
        <w:t>- Six stakeholder workshops took place between December 2020 and June 2021</w:t>
      </w:r>
      <w:r w:rsidR="005A11C8">
        <w:rPr>
          <w:noProof/>
        </w:rPr>
        <w:t>.</w:t>
      </w:r>
    </w:p>
    <w:p w14:paraId="2A1F1AF2" w14:textId="70B472D3" w:rsidR="00B837A8" w:rsidRPr="005B05D0" w:rsidRDefault="00B837A8" w:rsidP="00093A0F">
      <w:pPr>
        <w:rPr>
          <w:noProof/>
        </w:rPr>
      </w:pPr>
      <w:r w:rsidRPr="005B05D0">
        <w:rPr>
          <w:noProof/>
        </w:rPr>
        <w:t xml:space="preserve">- </w:t>
      </w:r>
      <w:r w:rsidR="005A11C8">
        <w:rPr>
          <w:noProof/>
        </w:rPr>
        <w:t>T</w:t>
      </w:r>
      <w:r w:rsidRPr="005B05D0">
        <w:rPr>
          <w:noProof/>
        </w:rPr>
        <w:t xml:space="preserve">he European ITS Committee </w:t>
      </w:r>
      <w:r w:rsidR="005A11C8">
        <w:rPr>
          <w:noProof/>
        </w:rPr>
        <w:t xml:space="preserve">held meetings </w:t>
      </w:r>
      <w:r w:rsidRPr="005B05D0">
        <w:rPr>
          <w:noProof/>
        </w:rPr>
        <w:t>on 17</w:t>
      </w:r>
      <w:r w:rsidR="005A11C8">
        <w:rPr>
          <w:noProof/>
        </w:rPr>
        <w:t> </w:t>
      </w:r>
      <w:r w:rsidRPr="005B05D0">
        <w:rPr>
          <w:noProof/>
        </w:rPr>
        <w:t>December</w:t>
      </w:r>
      <w:r w:rsidR="005A11C8">
        <w:rPr>
          <w:noProof/>
        </w:rPr>
        <w:t> </w:t>
      </w:r>
      <w:r w:rsidRPr="005B05D0">
        <w:rPr>
          <w:noProof/>
        </w:rPr>
        <w:t>2020 and 28</w:t>
      </w:r>
      <w:r w:rsidR="005A11C8">
        <w:rPr>
          <w:noProof/>
        </w:rPr>
        <w:t> </w:t>
      </w:r>
      <w:r w:rsidRPr="005B05D0">
        <w:rPr>
          <w:noProof/>
        </w:rPr>
        <w:t>June</w:t>
      </w:r>
      <w:r w:rsidR="005A11C8">
        <w:rPr>
          <w:noProof/>
        </w:rPr>
        <w:t> </w:t>
      </w:r>
      <w:r w:rsidRPr="005B05D0">
        <w:rPr>
          <w:noProof/>
        </w:rPr>
        <w:t>2021</w:t>
      </w:r>
      <w:r w:rsidR="00E0142A" w:rsidRPr="005B05D0">
        <w:rPr>
          <w:noProof/>
        </w:rPr>
        <w:t>.</w:t>
      </w:r>
    </w:p>
    <w:p w14:paraId="06597CE0" w14:textId="2ED93112" w:rsidR="002B3EE5" w:rsidRPr="005B05D0" w:rsidRDefault="00910B93" w:rsidP="00093A0F">
      <w:pPr>
        <w:rPr>
          <w:noProof/>
        </w:rPr>
      </w:pPr>
      <w:r w:rsidRPr="005B05D0">
        <w:rPr>
          <w:noProof/>
        </w:rPr>
        <w:t xml:space="preserve">Throughout the period of preparing the </w:t>
      </w:r>
      <w:r w:rsidR="005A11C8">
        <w:rPr>
          <w:noProof/>
        </w:rPr>
        <w:t>i</w:t>
      </w:r>
      <w:r w:rsidRPr="005B05D0">
        <w:rPr>
          <w:noProof/>
        </w:rPr>
        <w:t xml:space="preserve">mpact </w:t>
      </w:r>
      <w:r w:rsidR="005A11C8">
        <w:rPr>
          <w:noProof/>
        </w:rPr>
        <w:t>a</w:t>
      </w:r>
      <w:r w:rsidRPr="005B05D0">
        <w:rPr>
          <w:noProof/>
        </w:rPr>
        <w:t xml:space="preserve">ssessment, </w:t>
      </w:r>
      <w:r w:rsidR="005A11C8">
        <w:rPr>
          <w:noProof/>
        </w:rPr>
        <w:t xml:space="preserve">the </w:t>
      </w:r>
      <w:r w:rsidRPr="005B05D0">
        <w:rPr>
          <w:noProof/>
        </w:rPr>
        <w:t xml:space="preserve">Commission </w:t>
      </w:r>
      <w:r w:rsidR="005A11C8">
        <w:rPr>
          <w:noProof/>
        </w:rPr>
        <w:t xml:space="preserve">also </w:t>
      </w:r>
      <w:r w:rsidRPr="005B05D0">
        <w:rPr>
          <w:noProof/>
        </w:rPr>
        <w:t>met with a wide variety of stakeholders and received several position papers.</w:t>
      </w:r>
    </w:p>
    <w:p w14:paraId="69F6ABF6" w14:textId="77777777" w:rsidR="00D94544" w:rsidRDefault="00D94544" w:rsidP="00D13454">
      <w:pPr>
        <w:pStyle w:val="ManualHeading2"/>
        <w:rPr>
          <w:rFonts w:eastAsia="Arial Unicode MS"/>
          <w:noProof/>
          <w:u w:color="000000"/>
          <w:bdr w:val="nil"/>
          <w:lang w:val="en-US" w:eastAsia="en-GB"/>
        </w:rPr>
      </w:pPr>
      <w:r w:rsidRPr="000C20EE">
        <w:rPr>
          <w:rFonts w:eastAsia="Arial Unicode MS"/>
          <w:noProof/>
          <w:u w:color="000000"/>
          <w:bdr w:val="nil"/>
          <w:lang w:val="en-US" w:eastAsia="en-GB"/>
        </w:rPr>
        <w:t>•</w:t>
      </w:r>
      <w:r w:rsidRPr="000C20EE">
        <w:rPr>
          <w:rFonts w:eastAsia="Arial Unicode MS"/>
          <w:noProof/>
          <w:u w:color="000000"/>
          <w:bdr w:val="nil"/>
          <w:lang w:val="en-US" w:eastAsia="en-GB"/>
        </w:rPr>
        <w:tab/>
        <w:t>Collection and use of expertise</w:t>
      </w:r>
    </w:p>
    <w:p w14:paraId="372FDF46" w14:textId="5DEE2A4D" w:rsidR="00A13B57" w:rsidRPr="005B05D0" w:rsidRDefault="007F32E2" w:rsidP="00D13454">
      <w:pPr>
        <w:pBdr>
          <w:top w:val="nil"/>
          <w:left w:val="nil"/>
          <w:bottom w:val="nil"/>
          <w:right w:val="nil"/>
          <w:between w:val="nil"/>
          <w:bar w:val="nil"/>
        </w:pBdr>
        <w:spacing w:before="0" w:after="240"/>
        <w:rPr>
          <w:noProof/>
        </w:rPr>
      </w:pPr>
      <w:r w:rsidRPr="005B05D0">
        <w:rPr>
          <w:noProof/>
        </w:rPr>
        <w:t>In preparing this initiative, the Commission used</w:t>
      </w:r>
      <w:r w:rsidR="003B5429">
        <w:rPr>
          <w:noProof/>
        </w:rPr>
        <w:t>: (i)</w:t>
      </w:r>
      <w:r w:rsidRPr="005B05D0">
        <w:rPr>
          <w:noProof/>
        </w:rPr>
        <w:t xml:space="preserve"> the findings of the </w:t>
      </w:r>
      <w:r w:rsidR="003B5429" w:rsidRPr="00422C32">
        <w:rPr>
          <w:i/>
          <w:noProof/>
        </w:rPr>
        <w:t>ex-post</w:t>
      </w:r>
      <w:r w:rsidRPr="005B05D0">
        <w:rPr>
          <w:noProof/>
        </w:rPr>
        <w:t xml:space="preserve"> evaluation of the ITS </w:t>
      </w:r>
      <w:r w:rsidR="00A13B57" w:rsidRPr="005B05D0">
        <w:rPr>
          <w:noProof/>
        </w:rPr>
        <w:t>Directive</w:t>
      </w:r>
      <w:r w:rsidR="00A83F91" w:rsidRPr="00882C0B">
        <w:rPr>
          <w:rStyle w:val="FootnoteReference"/>
          <w:noProof/>
        </w:rPr>
        <w:footnoteReference w:id="25"/>
      </w:r>
      <w:r w:rsidR="003B5429">
        <w:rPr>
          <w:noProof/>
        </w:rPr>
        <w:t>; (ii)</w:t>
      </w:r>
      <w:r w:rsidR="00A13B57" w:rsidRPr="005B05D0">
        <w:rPr>
          <w:noProof/>
        </w:rPr>
        <w:t xml:space="preserve"> </w:t>
      </w:r>
      <w:r w:rsidR="00FD51EB" w:rsidRPr="005B05D0">
        <w:rPr>
          <w:noProof/>
        </w:rPr>
        <w:t xml:space="preserve">the </w:t>
      </w:r>
      <w:r w:rsidR="0027715B" w:rsidRPr="005B05D0">
        <w:rPr>
          <w:noProof/>
        </w:rPr>
        <w:t xml:space="preserve">Commission </w:t>
      </w:r>
      <w:r w:rsidR="00FD51EB" w:rsidRPr="005B05D0">
        <w:rPr>
          <w:noProof/>
        </w:rPr>
        <w:t>report to the European Parliament and the Council on the implementation of the Directive</w:t>
      </w:r>
      <w:r w:rsidR="00FD51EB" w:rsidRPr="00882C0B">
        <w:rPr>
          <w:rStyle w:val="FootnoteReference"/>
          <w:noProof/>
        </w:rPr>
        <w:footnoteReference w:id="26"/>
      </w:r>
      <w:r w:rsidR="003B5429">
        <w:rPr>
          <w:noProof/>
        </w:rPr>
        <w:t>; and (iii)</w:t>
      </w:r>
      <w:r w:rsidR="00A13B57" w:rsidRPr="005B05D0">
        <w:rPr>
          <w:noProof/>
        </w:rPr>
        <w:t xml:space="preserve"> the Member States’ 2020 progress reports on the implementation of the ITS Directive</w:t>
      </w:r>
      <w:r w:rsidR="006B0C59" w:rsidRPr="00882C0B">
        <w:rPr>
          <w:rStyle w:val="FootnoteReference"/>
          <w:noProof/>
        </w:rPr>
        <w:footnoteReference w:id="27"/>
      </w:r>
      <w:r w:rsidR="003B5429" w:rsidRPr="005B05D0">
        <w:rPr>
          <w:noProof/>
        </w:rPr>
        <w:t>.</w:t>
      </w:r>
    </w:p>
    <w:p w14:paraId="42955147" w14:textId="1BEA0AC8" w:rsidR="007F32E2" w:rsidRPr="005B05D0" w:rsidRDefault="007F32E2" w:rsidP="00D13454">
      <w:pPr>
        <w:pBdr>
          <w:top w:val="nil"/>
          <w:left w:val="nil"/>
          <w:bottom w:val="nil"/>
          <w:right w:val="nil"/>
          <w:between w:val="nil"/>
          <w:bar w:val="nil"/>
        </w:pBdr>
        <w:spacing w:before="0" w:after="240"/>
        <w:rPr>
          <w:noProof/>
        </w:rPr>
      </w:pPr>
      <w:r w:rsidRPr="005B05D0">
        <w:rPr>
          <w:noProof/>
        </w:rPr>
        <w:t xml:space="preserve">Stakeholders </w:t>
      </w:r>
      <w:r w:rsidR="00675327" w:rsidRPr="005B05D0">
        <w:rPr>
          <w:noProof/>
        </w:rPr>
        <w:t xml:space="preserve">also </w:t>
      </w:r>
      <w:r w:rsidRPr="005B05D0">
        <w:rPr>
          <w:noProof/>
        </w:rPr>
        <w:t>provided a lot</w:t>
      </w:r>
      <w:r w:rsidR="00A13B57" w:rsidRPr="005B05D0">
        <w:rPr>
          <w:noProof/>
        </w:rPr>
        <w:t xml:space="preserve"> </w:t>
      </w:r>
      <w:r w:rsidRPr="005B05D0">
        <w:rPr>
          <w:noProof/>
        </w:rPr>
        <w:t>of information in the consultation activities, supplemented by information that stakeholders provided to the Commission on an ad</w:t>
      </w:r>
      <w:r w:rsidR="00675327">
        <w:rPr>
          <w:noProof/>
        </w:rPr>
        <w:t xml:space="preserve"> </w:t>
      </w:r>
      <w:r w:rsidRPr="005B05D0">
        <w:rPr>
          <w:noProof/>
        </w:rPr>
        <w:t>hoc basis. The impact assessment relies to a considerable extent on an accompanying external support study carried out by a consultant</w:t>
      </w:r>
      <w:r w:rsidR="002C1BAB" w:rsidRPr="00882C0B">
        <w:rPr>
          <w:rStyle w:val="FootnoteReference"/>
          <w:noProof/>
        </w:rPr>
        <w:footnoteReference w:id="28"/>
      </w:r>
      <w:r w:rsidR="00675327" w:rsidRPr="005B05D0">
        <w:rPr>
          <w:noProof/>
        </w:rPr>
        <w:t>.</w:t>
      </w:r>
    </w:p>
    <w:p w14:paraId="755BEA41" w14:textId="40827591" w:rsidR="006218E9" w:rsidRPr="005B05D0" w:rsidRDefault="007F32E2" w:rsidP="00D13454">
      <w:pPr>
        <w:pBdr>
          <w:top w:val="nil"/>
          <w:left w:val="nil"/>
          <w:bottom w:val="nil"/>
          <w:right w:val="nil"/>
          <w:between w:val="nil"/>
          <w:bar w:val="nil"/>
        </w:pBdr>
        <w:spacing w:before="0" w:after="240"/>
        <w:rPr>
          <w:noProof/>
        </w:rPr>
      </w:pPr>
      <w:r w:rsidRPr="005B05D0">
        <w:rPr>
          <w:noProof/>
        </w:rPr>
        <w:t xml:space="preserve">Another source of information </w:t>
      </w:r>
      <w:r w:rsidR="00F71296">
        <w:rPr>
          <w:noProof/>
        </w:rPr>
        <w:t>came</w:t>
      </w:r>
      <w:r w:rsidR="00F71296" w:rsidRPr="005B05D0">
        <w:rPr>
          <w:noProof/>
        </w:rPr>
        <w:t xml:space="preserve"> </w:t>
      </w:r>
      <w:r w:rsidR="00E0142A" w:rsidRPr="005B05D0">
        <w:rPr>
          <w:noProof/>
        </w:rPr>
        <w:t>from</w:t>
      </w:r>
      <w:r w:rsidR="00E845BA" w:rsidRPr="005B05D0">
        <w:rPr>
          <w:noProof/>
        </w:rPr>
        <w:t xml:space="preserve"> </w:t>
      </w:r>
      <w:r w:rsidRPr="005B05D0">
        <w:rPr>
          <w:noProof/>
        </w:rPr>
        <w:t xml:space="preserve">a broad consultation exercise the Commission carried out with </w:t>
      </w:r>
      <w:r w:rsidR="00A13B57" w:rsidRPr="005B05D0">
        <w:rPr>
          <w:noProof/>
        </w:rPr>
        <w:t>the Member State</w:t>
      </w:r>
      <w:r w:rsidR="00796345" w:rsidRPr="005B05D0">
        <w:rPr>
          <w:noProof/>
        </w:rPr>
        <w:t>s’</w:t>
      </w:r>
      <w:r w:rsidRPr="005B05D0">
        <w:rPr>
          <w:noProof/>
        </w:rPr>
        <w:t xml:space="preserve"> expert group </w:t>
      </w:r>
      <w:r w:rsidR="002C1BAB" w:rsidRPr="005B05D0">
        <w:rPr>
          <w:noProof/>
        </w:rPr>
        <w:t>on I</w:t>
      </w:r>
      <w:r w:rsidR="00F71296">
        <w:rPr>
          <w:noProof/>
        </w:rPr>
        <w:t>TS</w:t>
      </w:r>
      <w:r w:rsidR="006218E9" w:rsidRPr="00882C0B">
        <w:rPr>
          <w:rStyle w:val="FootnoteReference"/>
          <w:noProof/>
        </w:rPr>
        <w:footnoteReference w:id="29"/>
      </w:r>
      <w:r w:rsidRPr="005B05D0">
        <w:rPr>
          <w:noProof/>
        </w:rPr>
        <w:t xml:space="preserve"> </w:t>
      </w:r>
      <w:r w:rsidR="006218E9" w:rsidRPr="005B05D0">
        <w:rPr>
          <w:noProof/>
        </w:rPr>
        <w:t>on the definition of crucial data types</w:t>
      </w:r>
      <w:r w:rsidR="00F71296">
        <w:rPr>
          <w:noProof/>
        </w:rPr>
        <w:t>. This exercise was carried out as part</w:t>
      </w:r>
      <w:r w:rsidR="006218E9" w:rsidRPr="005B05D0">
        <w:rPr>
          <w:noProof/>
        </w:rPr>
        <w:t xml:space="preserve"> of the revision of Commission Delegated Regulation (EU) No 2015</w:t>
      </w:r>
      <w:r w:rsidR="00E0142A" w:rsidRPr="005B05D0">
        <w:rPr>
          <w:noProof/>
        </w:rPr>
        <w:t>/962</w:t>
      </w:r>
      <w:r w:rsidR="006218E9" w:rsidRPr="005B05D0">
        <w:rPr>
          <w:noProof/>
        </w:rPr>
        <w:t>.</w:t>
      </w:r>
    </w:p>
    <w:p w14:paraId="6236BB2B" w14:textId="06C212CE" w:rsidR="00D94544" w:rsidRPr="005B05D0" w:rsidRDefault="007F32E2" w:rsidP="00093A0F">
      <w:pPr>
        <w:rPr>
          <w:noProof/>
        </w:rPr>
      </w:pPr>
      <w:r w:rsidRPr="005B05D0">
        <w:rPr>
          <w:noProof/>
        </w:rPr>
        <w:t>Overall, the sources used to draft the impact</w:t>
      </w:r>
      <w:r w:rsidR="00F71296">
        <w:rPr>
          <w:noProof/>
        </w:rPr>
        <w:t>-</w:t>
      </w:r>
      <w:r w:rsidRPr="005B05D0">
        <w:rPr>
          <w:noProof/>
        </w:rPr>
        <w:t xml:space="preserve">assessment report are numerous, </w:t>
      </w:r>
      <w:r w:rsidR="00796345" w:rsidRPr="005B05D0">
        <w:rPr>
          <w:noProof/>
        </w:rPr>
        <w:t xml:space="preserve">comprehensive and </w:t>
      </w:r>
      <w:r w:rsidRPr="005B05D0">
        <w:rPr>
          <w:noProof/>
        </w:rPr>
        <w:t>representative of the various stakeholder groups.</w:t>
      </w:r>
    </w:p>
    <w:p w14:paraId="68B74EB0" w14:textId="77777777" w:rsidR="00D94544" w:rsidRDefault="00D94544" w:rsidP="00D13454">
      <w:pPr>
        <w:pStyle w:val="ManualHeading2"/>
        <w:rPr>
          <w:rFonts w:eastAsia="Arial Unicode MS"/>
          <w:noProof/>
          <w:u w:color="000000"/>
          <w:bdr w:val="nil"/>
          <w:lang w:val="en-US" w:eastAsia="en-GB"/>
        </w:rPr>
      </w:pPr>
      <w:r w:rsidRPr="007718A8">
        <w:rPr>
          <w:rFonts w:eastAsia="Arial Unicode MS"/>
          <w:noProof/>
          <w:u w:color="000000"/>
          <w:bdr w:val="nil"/>
          <w:lang w:val="en-US" w:eastAsia="en-GB"/>
        </w:rPr>
        <w:t>•</w:t>
      </w:r>
      <w:r w:rsidRPr="007718A8">
        <w:rPr>
          <w:rFonts w:eastAsia="Arial Unicode MS"/>
          <w:noProof/>
          <w:u w:color="000000"/>
          <w:bdr w:val="nil"/>
          <w:lang w:val="en-US" w:eastAsia="en-GB"/>
        </w:rPr>
        <w:tab/>
        <w:t>Impact assessment</w:t>
      </w:r>
    </w:p>
    <w:p w14:paraId="5B52AF9F" w14:textId="0049F557" w:rsidR="00026326" w:rsidRPr="005B05D0" w:rsidRDefault="00026326" w:rsidP="00026326">
      <w:pPr>
        <w:pBdr>
          <w:top w:val="nil"/>
          <w:left w:val="nil"/>
          <w:bottom w:val="nil"/>
          <w:right w:val="nil"/>
          <w:between w:val="nil"/>
          <w:bar w:val="nil"/>
        </w:pBdr>
        <w:spacing w:before="0" w:after="240"/>
        <w:rPr>
          <w:noProof/>
        </w:rPr>
      </w:pPr>
      <w:r w:rsidRPr="005B05D0">
        <w:rPr>
          <w:noProof/>
        </w:rPr>
        <w:t>The Regulatory Scrutiny Board received the impact assessment report on 25</w:t>
      </w:r>
      <w:r w:rsidR="00F71296">
        <w:rPr>
          <w:noProof/>
        </w:rPr>
        <w:t> </w:t>
      </w:r>
      <w:r w:rsidRPr="005B05D0">
        <w:rPr>
          <w:noProof/>
        </w:rPr>
        <w:t>August</w:t>
      </w:r>
      <w:r w:rsidR="00F71296">
        <w:rPr>
          <w:noProof/>
        </w:rPr>
        <w:t> </w:t>
      </w:r>
      <w:r w:rsidRPr="005B05D0">
        <w:rPr>
          <w:noProof/>
        </w:rPr>
        <w:t xml:space="preserve">2021. The Board issued a positive opinion </w:t>
      </w:r>
      <w:r w:rsidR="00F71296">
        <w:rPr>
          <w:noProof/>
        </w:rPr>
        <w:t xml:space="preserve">on the report </w:t>
      </w:r>
      <w:r w:rsidR="008113BB" w:rsidRPr="005B05D0">
        <w:rPr>
          <w:noProof/>
        </w:rPr>
        <w:t xml:space="preserve">with reservations </w:t>
      </w:r>
      <w:r w:rsidRPr="005B05D0">
        <w:rPr>
          <w:noProof/>
        </w:rPr>
        <w:t xml:space="preserve">on </w:t>
      </w:r>
      <w:r w:rsidR="008113BB" w:rsidRPr="005B05D0">
        <w:rPr>
          <w:noProof/>
        </w:rPr>
        <w:t>27</w:t>
      </w:r>
      <w:r w:rsidR="00F71296">
        <w:rPr>
          <w:noProof/>
        </w:rPr>
        <w:t> </w:t>
      </w:r>
      <w:r w:rsidR="008113BB" w:rsidRPr="005B05D0">
        <w:rPr>
          <w:noProof/>
        </w:rPr>
        <w:t>September</w:t>
      </w:r>
      <w:r w:rsidR="00F71296">
        <w:rPr>
          <w:noProof/>
        </w:rPr>
        <w:t> </w:t>
      </w:r>
      <w:r w:rsidRPr="005B05D0">
        <w:rPr>
          <w:noProof/>
        </w:rPr>
        <w:t xml:space="preserve">2021. The Board considered that the report should </w:t>
      </w:r>
      <w:r w:rsidR="00F71296">
        <w:rPr>
          <w:noProof/>
        </w:rPr>
        <w:t xml:space="preserve">be </w:t>
      </w:r>
      <w:r w:rsidRPr="005B05D0">
        <w:rPr>
          <w:noProof/>
        </w:rPr>
        <w:t>further improve</w:t>
      </w:r>
      <w:r w:rsidR="00F71296">
        <w:rPr>
          <w:noProof/>
        </w:rPr>
        <w:t>d</w:t>
      </w:r>
      <w:r w:rsidRPr="005B05D0">
        <w:rPr>
          <w:noProof/>
        </w:rPr>
        <w:t xml:space="preserve"> </w:t>
      </w:r>
      <w:r w:rsidR="00F71296">
        <w:rPr>
          <w:noProof/>
        </w:rPr>
        <w:t>in: (i</w:t>
      </w:r>
      <w:r w:rsidRPr="005B05D0">
        <w:rPr>
          <w:noProof/>
        </w:rPr>
        <w:t xml:space="preserve">) </w:t>
      </w:r>
      <w:r w:rsidR="00F502E6" w:rsidRPr="005B05D0">
        <w:rPr>
          <w:noProof/>
        </w:rPr>
        <w:t>the scope of the initiative, for example how it will contribute to multimodality and the Green Deal objectives</w:t>
      </w:r>
      <w:r w:rsidR="00F71296">
        <w:rPr>
          <w:noProof/>
        </w:rPr>
        <w:t>; (ii</w:t>
      </w:r>
      <w:r w:rsidRPr="005B05D0">
        <w:rPr>
          <w:noProof/>
        </w:rPr>
        <w:t xml:space="preserve">) </w:t>
      </w:r>
      <w:r w:rsidR="00F502E6" w:rsidRPr="005B05D0">
        <w:rPr>
          <w:noProof/>
        </w:rPr>
        <w:t>the specific problems being addressed and the most critical policy choices</w:t>
      </w:r>
      <w:r w:rsidR="00F71296">
        <w:rPr>
          <w:noProof/>
        </w:rPr>
        <w:t>; (iii</w:t>
      </w:r>
      <w:r w:rsidR="005E7CDE" w:rsidRPr="005B05D0">
        <w:rPr>
          <w:noProof/>
        </w:rPr>
        <w:t>) the analysis of impacts</w:t>
      </w:r>
      <w:r w:rsidR="00F71296">
        <w:rPr>
          <w:noProof/>
        </w:rPr>
        <w:t>; (iv</w:t>
      </w:r>
      <w:r w:rsidR="005E7CDE" w:rsidRPr="005B05D0">
        <w:rPr>
          <w:noProof/>
        </w:rPr>
        <w:t>) the choice of the preferred policy option</w:t>
      </w:r>
      <w:r w:rsidR="00F71296">
        <w:rPr>
          <w:noProof/>
        </w:rPr>
        <w:t>;</w:t>
      </w:r>
      <w:r w:rsidR="005E7CDE" w:rsidRPr="005B05D0">
        <w:rPr>
          <w:noProof/>
        </w:rPr>
        <w:t xml:space="preserve"> and </w:t>
      </w:r>
      <w:r w:rsidR="00F71296">
        <w:rPr>
          <w:noProof/>
        </w:rPr>
        <w:t>(v</w:t>
      </w:r>
      <w:r w:rsidR="005E7CDE" w:rsidRPr="005B05D0">
        <w:rPr>
          <w:noProof/>
        </w:rPr>
        <w:t>) stakeholder views</w:t>
      </w:r>
      <w:r w:rsidRPr="005B05D0">
        <w:rPr>
          <w:noProof/>
        </w:rPr>
        <w:t xml:space="preserve">. </w:t>
      </w:r>
    </w:p>
    <w:p w14:paraId="0E284001" w14:textId="673BADDA" w:rsidR="0017166D" w:rsidRPr="005B05D0" w:rsidRDefault="00026326" w:rsidP="00026326">
      <w:pPr>
        <w:pBdr>
          <w:top w:val="nil"/>
          <w:left w:val="nil"/>
          <w:bottom w:val="nil"/>
          <w:right w:val="nil"/>
          <w:between w:val="nil"/>
          <w:bar w:val="nil"/>
        </w:pBdr>
        <w:spacing w:before="0" w:after="240"/>
        <w:rPr>
          <w:noProof/>
        </w:rPr>
      </w:pPr>
      <w:r w:rsidRPr="005B05D0">
        <w:rPr>
          <w:noProof/>
        </w:rPr>
        <w:t>The final impact</w:t>
      </w:r>
      <w:r w:rsidR="00F71296">
        <w:rPr>
          <w:noProof/>
        </w:rPr>
        <w:t>-</w:t>
      </w:r>
      <w:r w:rsidRPr="005B05D0">
        <w:rPr>
          <w:noProof/>
        </w:rPr>
        <w:t xml:space="preserve">assessment report includes a comprehensive description and assessment of the initiative’s added </w:t>
      </w:r>
      <w:r w:rsidR="00796345" w:rsidRPr="005B05D0">
        <w:rPr>
          <w:noProof/>
        </w:rPr>
        <w:t xml:space="preserve">value </w:t>
      </w:r>
      <w:r w:rsidRPr="005B05D0">
        <w:rPr>
          <w:noProof/>
        </w:rPr>
        <w:t xml:space="preserve">and its links with other policy initiatives in </w:t>
      </w:r>
      <w:r w:rsidR="00F71296">
        <w:rPr>
          <w:noProof/>
        </w:rPr>
        <w:t>S</w:t>
      </w:r>
      <w:r w:rsidRPr="005B05D0">
        <w:rPr>
          <w:noProof/>
        </w:rPr>
        <w:t xml:space="preserve">ections </w:t>
      </w:r>
      <w:r w:rsidR="00881849" w:rsidRPr="005B05D0">
        <w:rPr>
          <w:noProof/>
        </w:rPr>
        <w:t>1 through 4</w:t>
      </w:r>
      <w:r w:rsidRPr="005B05D0">
        <w:rPr>
          <w:noProof/>
        </w:rPr>
        <w:t xml:space="preserve">. A detailed description of the policy options is included in </w:t>
      </w:r>
      <w:r w:rsidR="00F71296">
        <w:rPr>
          <w:noProof/>
        </w:rPr>
        <w:t>S</w:t>
      </w:r>
      <w:r w:rsidRPr="005B05D0">
        <w:rPr>
          <w:noProof/>
        </w:rPr>
        <w:t xml:space="preserve">ection </w:t>
      </w:r>
      <w:r w:rsidR="00881849" w:rsidRPr="005B05D0">
        <w:rPr>
          <w:noProof/>
        </w:rPr>
        <w:t>5</w:t>
      </w:r>
      <w:r w:rsidRPr="005B05D0">
        <w:rPr>
          <w:noProof/>
        </w:rPr>
        <w:t xml:space="preserve">. A comprehensive analysis of the impacts of all options is presented in </w:t>
      </w:r>
      <w:r w:rsidR="00F71296">
        <w:rPr>
          <w:noProof/>
        </w:rPr>
        <w:t>S</w:t>
      </w:r>
      <w:r w:rsidRPr="005B05D0">
        <w:rPr>
          <w:noProof/>
        </w:rPr>
        <w:t xml:space="preserve">ection </w:t>
      </w:r>
      <w:r w:rsidR="00881849" w:rsidRPr="005B05D0">
        <w:rPr>
          <w:noProof/>
        </w:rPr>
        <w:t>6</w:t>
      </w:r>
      <w:r w:rsidR="00F71296">
        <w:rPr>
          <w:noProof/>
        </w:rPr>
        <w:t>,</w:t>
      </w:r>
      <w:r w:rsidR="00881849" w:rsidRPr="005B05D0">
        <w:rPr>
          <w:noProof/>
        </w:rPr>
        <w:t xml:space="preserve"> and a comparison of the policy options in </w:t>
      </w:r>
      <w:r w:rsidR="00F71296">
        <w:rPr>
          <w:noProof/>
        </w:rPr>
        <w:t xml:space="preserve">Section </w:t>
      </w:r>
      <w:r w:rsidR="00881849" w:rsidRPr="005B05D0">
        <w:rPr>
          <w:noProof/>
        </w:rPr>
        <w:t>7</w:t>
      </w:r>
      <w:r w:rsidRPr="005B05D0">
        <w:rPr>
          <w:noProof/>
        </w:rPr>
        <w:t>. The executive summary of the impact</w:t>
      </w:r>
      <w:r w:rsidRPr="00882C0B">
        <w:rPr>
          <w:rFonts w:eastAsia="Arial Unicode MS"/>
          <w:noProof/>
        </w:rPr>
        <w:t xml:space="preserve"> </w:t>
      </w:r>
      <w:r w:rsidRPr="005B05D0">
        <w:rPr>
          <w:noProof/>
        </w:rPr>
        <w:t>assessment and the opinion of the Board can be found on the Commission’s website</w:t>
      </w:r>
      <w:r w:rsidR="009919AC" w:rsidRPr="00433D87">
        <w:rPr>
          <w:rStyle w:val="FootnoteReference"/>
          <w:noProof/>
        </w:rPr>
        <w:footnoteReference w:id="30"/>
      </w:r>
      <w:r w:rsidR="00F71296" w:rsidRPr="005B05D0">
        <w:rPr>
          <w:noProof/>
        </w:rPr>
        <w:t>.</w:t>
      </w:r>
    </w:p>
    <w:p w14:paraId="392C26A7" w14:textId="778960E1" w:rsidR="00D94544" w:rsidRPr="005B05D0" w:rsidRDefault="00026326" w:rsidP="00093A0F">
      <w:pPr>
        <w:rPr>
          <w:noProof/>
        </w:rPr>
      </w:pPr>
      <w:r w:rsidRPr="005B05D0">
        <w:rPr>
          <w:noProof/>
        </w:rPr>
        <w:t>Th</w:t>
      </w:r>
      <w:r w:rsidR="00487980">
        <w:rPr>
          <w:noProof/>
        </w:rPr>
        <w:t>ree policy options were analysed in the final impact-assessment report. A summary of each of these three options is set out in the three bullet points below.</w:t>
      </w:r>
    </w:p>
    <w:p w14:paraId="6DD3A8A9" w14:textId="3AC82B4B" w:rsidR="006F72A7" w:rsidRPr="005B05D0" w:rsidRDefault="003A64AB" w:rsidP="00F3669C">
      <w:pPr>
        <w:pStyle w:val="Tiret0"/>
        <w:numPr>
          <w:ilvl w:val="0"/>
          <w:numId w:val="11"/>
        </w:numPr>
        <w:rPr>
          <w:noProof/>
        </w:rPr>
      </w:pPr>
      <w:r w:rsidRPr="005B05D0">
        <w:rPr>
          <w:noProof/>
        </w:rPr>
        <w:t xml:space="preserve">Policy option 1: Strengthened coordination and deployment principles. This first policy option introduces the </w:t>
      </w:r>
      <w:r w:rsidR="00485CD8">
        <w:rPr>
          <w:noProof/>
        </w:rPr>
        <w:t xml:space="preserve">greatest number </w:t>
      </w:r>
      <w:r w:rsidRPr="005B05D0">
        <w:rPr>
          <w:noProof/>
        </w:rPr>
        <w:t>of policy measures</w:t>
      </w:r>
      <w:r w:rsidR="00485CD8">
        <w:rPr>
          <w:noProof/>
        </w:rPr>
        <w:t>.</w:t>
      </w:r>
      <w:r w:rsidRPr="005B05D0">
        <w:rPr>
          <w:noProof/>
        </w:rPr>
        <w:t xml:space="preserve"> </w:t>
      </w:r>
      <w:r w:rsidR="00485CD8">
        <w:rPr>
          <w:noProof/>
        </w:rPr>
        <w:t>N</w:t>
      </w:r>
      <w:r w:rsidRPr="005B05D0">
        <w:rPr>
          <w:noProof/>
        </w:rPr>
        <w:t>evertheless</w:t>
      </w:r>
      <w:r w:rsidR="00485CD8">
        <w:rPr>
          <w:noProof/>
        </w:rPr>
        <w:t>, it</w:t>
      </w:r>
      <w:r w:rsidRPr="005B05D0">
        <w:rPr>
          <w:noProof/>
        </w:rPr>
        <w:t xml:space="preserve"> mostly takes a light</w:t>
      </w:r>
      <w:r w:rsidR="00485CD8">
        <w:rPr>
          <w:noProof/>
        </w:rPr>
        <w:t>-</w:t>
      </w:r>
      <w:r w:rsidRPr="005B05D0">
        <w:rPr>
          <w:noProof/>
        </w:rPr>
        <w:t xml:space="preserve">touch approach, including </w:t>
      </w:r>
      <w:r w:rsidR="00534713" w:rsidRPr="005B05D0">
        <w:rPr>
          <w:noProof/>
        </w:rPr>
        <w:t xml:space="preserve">on the measures </w:t>
      </w:r>
      <w:r w:rsidRPr="005B05D0">
        <w:rPr>
          <w:noProof/>
        </w:rPr>
        <w:t>related to</w:t>
      </w:r>
      <w:r w:rsidR="00485CD8">
        <w:rPr>
          <w:noProof/>
        </w:rPr>
        <w:t>: (i)</w:t>
      </w:r>
      <w:r w:rsidRPr="005B05D0">
        <w:rPr>
          <w:noProof/>
        </w:rPr>
        <w:t xml:space="preserve"> amendments to the Directive to allow for expan</w:t>
      </w:r>
      <w:r w:rsidR="00485CD8">
        <w:rPr>
          <w:noProof/>
        </w:rPr>
        <w:t>ding</w:t>
      </w:r>
      <w:r w:rsidRPr="005B05D0">
        <w:rPr>
          <w:noProof/>
        </w:rPr>
        <w:t xml:space="preserve"> its operation in new and emerging ITS</w:t>
      </w:r>
      <w:r w:rsidR="00485CD8">
        <w:rPr>
          <w:noProof/>
        </w:rPr>
        <w:t>-</w:t>
      </w:r>
      <w:r w:rsidRPr="005B05D0">
        <w:rPr>
          <w:noProof/>
        </w:rPr>
        <w:t>service areas</w:t>
      </w:r>
      <w:r w:rsidR="00485CD8">
        <w:rPr>
          <w:noProof/>
        </w:rPr>
        <w:t>; (ii)</w:t>
      </w:r>
      <w:r w:rsidRPr="005B05D0">
        <w:rPr>
          <w:noProof/>
        </w:rPr>
        <w:t xml:space="preserve"> addressing identified shortcomings in stakeholder cooperation with measures improving coordination</w:t>
      </w:r>
      <w:r w:rsidR="00477760">
        <w:rPr>
          <w:noProof/>
        </w:rPr>
        <w:t>;</w:t>
      </w:r>
      <w:r w:rsidRPr="005B05D0">
        <w:rPr>
          <w:noProof/>
        </w:rPr>
        <w:t xml:space="preserve"> and </w:t>
      </w:r>
      <w:r w:rsidR="00477760">
        <w:rPr>
          <w:noProof/>
        </w:rPr>
        <w:t>(iii)</w:t>
      </w:r>
      <w:r w:rsidRPr="005B05D0">
        <w:rPr>
          <w:noProof/>
        </w:rPr>
        <w:t xml:space="preserve"> ensuring </w:t>
      </w:r>
      <w:r w:rsidR="00477760">
        <w:rPr>
          <w:noProof/>
        </w:rPr>
        <w:t xml:space="preserve">the </w:t>
      </w:r>
      <w:r w:rsidRPr="005B05D0">
        <w:rPr>
          <w:noProof/>
        </w:rPr>
        <w:t xml:space="preserve">coherence of </w:t>
      </w:r>
      <w:r w:rsidR="00477760">
        <w:rPr>
          <w:noProof/>
        </w:rPr>
        <w:t xml:space="preserve">the </w:t>
      </w:r>
      <w:r w:rsidRPr="005B05D0">
        <w:rPr>
          <w:noProof/>
        </w:rPr>
        <w:t>Directive</w:t>
      </w:r>
      <w:r w:rsidR="00477760">
        <w:rPr>
          <w:noProof/>
        </w:rPr>
        <w:t>’s</w:t>
      </w:r>
      <w:r w:rsidRPr="005B05D0">
        <w:rPr>
          <w:noProof/>
        </w:rPr>
        <w:t xml:space="preserve"> provisions with those of other existing legal instruments. It also includes measures that aim to</w:t>
      </w:r>
      <w:r w:rsidR="00477760">
        <w:rPr>
          <w:noProof/>
        </w:rPr>
        <w:t>: (i)</w:t>
      </w:r>
      <w:r w:rsidRPr="005B05D0">
        <w:rPr>
          <w:noProof/>
        </w:rPr>
        <w:t xml:space="preserve"> strengthen further the coordination of all relevant stakeholders</w:t>
      </w:r>
      <w:r w:rsidR="00477760">
        <w:rPr>
          <w:noProof/>
        </w:rPr>
        <w:t>; (ii)</w:t>
      </w:r>
      <w:r w:rsidR="00477760" w:rsidRPr="005B05D0">
        <w:rPr>
          <w:noProof/>
        </w:rPr>
        <w:t xml:space="preserve"> </w:t>
      </w:r>
      <w:r w:rsidRPr="005B05D0">
        <w:rPr>
          <w:noProof/>
        </w:rPr>
        <w:t>institutional</w:t>
      </w:r>
      <w:r w:rsidR="00CA251F">
        <w:rPr>
          <w:noProof/>
        </w:rPr>
        <w:t>is</w:t>
      </w:r>
      <w:r w:rsidR="00477760">
        <w:rPr>
          <w:noProof/>
        </w:rPr>
        <w:t>e</w:t>
      </w:r>
      <w:r w:rsidRPr="005B05D0">
        <w:rPr>
          <w:noProof/>
        </w:rPr>
        <w:t xml:space="preserve"> parts of the governance framework</w:t>
      </w:r>
      <w:r w:rsidR="00477760">
        <w:rPr>
          <w:noProof/>
        </w:rPr>
        <w:t>;</w:t>
      </w:r>
      <w:r w:rsidR="00477760" w:rsidRPr="005B05D0">
        <w:rPr>
          <w:noProof/>
        </w:rPr>
        <w:t xml:space="preserve"> </w:t>
      </w:r>
      <w:r w:rsidRPr="005B05D0">
        <w:rPr>
          <w:noProof/>
        </w:rPr>
        <w:t xml:space="preserve">and </w:t>
      </w:r>
      <w:r w:rsidR="00477760">
        <w:rPr>
          <w:noProof/>
        </w:rPr>
        <w:t xml:space="preserve">(iii) </w:t>
      </w:r>
      <w:r w:rsidR="00534713" w:rsidRPr="005B05D0">
        <w:rPr>
          <w:noProof/>
        </w:rPr>
        <w:t xml:space="preserve">make </w:t>
      </w:r>
      <w:r w:rsidRPr="005B05D0">
        <w:rPr>
          <w:noProof/>
        </w:rPr>
        <w:t xml:space="preserve">the Directive </w:t>
      </w:r>
      <w:r w:rsidR="00534713" w:rsidRPr="005B05D0">
        <w:rPr>
          <w:noProof/>
        </w:rPr>
        <w:t xml:space="preserve">future-proof </w:t>
      </w:r>
      <w:r w:rsidRPr="005B05D0">
        <w:rPr>
          <w:noProof/>
        </w:rPr>
        <w:t>to function in the advent of known upcoming EU policy initiatives.</w:t>
      </w:r>
    </w:p>
    <w:p w14:paraId="6BFA4CFC" w14:textId="17CF8B84" w:rsidR="003A64AB" w:rsidRPr="005B05D0" w:rsidRDefault="003A64AB" w:rsidP="00AB7B97">
      <w:pPr>
        <w:pStyle w:val="Tiret0"/>
        <w:rPr>
          <w:noProof/>
        </w:rPr>
      </w:pPr>
      <w:r w:rsidRPr="005B05D0">
        <w:rPr>
          <w:noProof/>
        </w:rPr>
        <w:t xml:space="preserve">Policy option 2: Mandate </w:t>
      </w:r>
      <w:r w:rsidR="00477760">
        <w:rPr>
          <w:noProof/>
        </w:rPr>
        <w:t xml:space="preserve">the </w:t>
      </w:r>
      <w:r w:rsidRPr="005B05D0">
        <w:rPr>
          <w:noProof/>
        </w:rPr>
        <w:t xml:space="preserve">collection and availability of crucial data. This intervention makes </w:t>
      </w:r>
      <w:r w:rsidR="00477760">
        <w:rPr>
          <w:noProof/>
        </w:rPr>
        <w:t xml:space="preserve">it mandatory to </w:t>
      </w:r>
      <w:r w:rsidRPr="005B05D0">
        <w:rPr>
          <w:noProof/>
        </w:rPr>
        <w:t>collect and shar</w:t>
      </w:r>
      <w:r w:rsidR="00477760">
        <w:rPr>
          <w:noProof/>
        </w:rPr>
        <w:t>e</w:t>
      </w:r>
      <w:r w:rsidRPr="005B05D0">
        <w:rPr>
          <w:noProof/>
        </w:rPr>
        <w:t xml:space="preserve"> data crucial for the operation of essential services as a means to boost the deployment of such services. These measures </w:t>
      </w:r>
      <w:r w:rsidR="00F721A8">
        <w:rPr>
          <w:noProof/>
        </w:rPr>
        <w:t xml:space="preserve">retain </w:t>
      </w:r>
      <w:r w:rsidR="00F721A8" w:rsidRPr="005B05D0">
        <w:rPr>
          <w:noProof/>
        </w:rPr>
        <w:t xml:space="preserve">all other aspects of </w:t>
      </w:r>
      <w:r w:rsidR="00F721A8">
        <w:rPr>
          <w:noProof/>
        </w:rPr>
        <w:t>p</w:t>
      </w:r>
      <w:r w:rsidR="00F721A8" w:rsidRPr="005B05D0">
        <w:rPr>
          <w:noProof/>
        </w:rPr>
        <w:t xml:space="preserve">olicy </w:t>
      </w:r>
      <w:r w:rsidR="00F721A8">
        <w:rPr>
          <w:noProof/>
        </w:rPr>
        <w:t>o</w:t>
      </w:r>
      <w:r w:rsidR="00F721A8" w:rsidRPr="005B05D0">
        <w:rPr>
          <w:noProof/>
        </w:rPr>
        <w:t>ption 1</w:t>
      </w:r>
      <w:r w:rsidR="00F721A8">
        <w:rPr>
          <w:noProof/>
        </w:rPr>
        <w:t xml:space="preserve"> while also </w:t>
      </w:r>
      <w:r w:rsidRPr="005B05D0">
        <w:rPr>
          <w:noProof/>
        </w:rPr>
        <w:t>aim</w:t>
      </w:r>
      <w:r w:rsidR="00F721A8">
        <w:rPr>
          <w:noProof/>
        </w:rPr>
        <w:t>ing</w:t>
      </w:r>
      <w:r w:rsidRPr="005B05D0">
        <w:rPr>
          <w:noProof/>
        </w:rPr>
        <w:t xml:space="preserve"> to improve</w:t>
      </w:r>
      <w:r w:rsidR="00F721A8">
        <w:rPr>
          <w:noProof/>
        </w:rPr>
        <w:t>: (i)</w:t>
      </w:r>
      <w:r w:rsidRPr="005B05D0">
        <w:rPr>
          <w:noProof/>
        </w:rPr>
        <w:t xml:space="preserve"> data availability</w:t>
      </w:r>
      <w:r w:rsidR="00F721A8">
        <w:rPr>
          <w:noProof/>
        </w:rPr>
        <w:t>; (ii) data</w:t>
      </w:r>
      <w:r w:rsidR="00F721A8" w:rsidRPr="005B05D0">
        <w:rPr>
          <w:noProof/>
        </w:rPr>
        <w:t xml:space="preserve"> </w:t>
      </w:r>
      <w:r w:rsidRPr="005B05D0">
        <w:rPr>
          <w:noProof/>
        </w:rPr>
        <w:t>quality</w:t>
      </w:r>
      <w:r w:rsidR="00F721A8">
        <w:rPr>
          <w:noProof/>
        </w:rPr>
        <w:t>; (iii) data</w:t>
      </w:r>
      <w:r w:rsidR="00F721A8" w:rsidRPr="005B05D0">
        <w:rPr>
          <w:noProof/>
        </w:rPr>
        <w:t xml:space="preserve"> </w:t>
      </w:r>
      <w:r w:rsidRPr="005B05D0">
        <w:rPr>
          <w:noProof/>
        </w:rPr>
        <w:t>access</w:t>
      </w:r>
      <w:r w:rsidR="00F721A8">
        <w:rPr>
          <w:noProof/>
        </w:rPr>
        <w:t>; (iv) data</w:t>
      </w:r>
      <w:r w:rsidRPr="005B05D0">
        <w:rPr>
          <w:noProof/>
        </w:rPr>
        <w:t xml:space="preserve"> exchange</w:t>
      </w:r>
      <w:r w:rsidR="00F721A8">
        <w:rPr>
          <w:noProof/>
        </w:rPr>
        <w:t>;</w:t>
      </w:r>
      <w:r w:rsidR="00E05898">
        <w:rPr>
          <w:noProof/>
        </w:rPr>
        <w:t xml:space="preserve"> and</w:t>
      </w:r>
      <w:r w:rsidR="00F721A8">
        <w:rPr>
          <w:noProof/>
        </w:rPr>
        <w:t xml:space="preserve"> (v)</w:t>
      </w:r>
      <w:r w:rsidRPr="005B05D0">
        <w:rPr>
          <w:noProof/>
        </w:rPr>
        <w:t xml:space="preserve"> </w:t>
      </w:r>
      <w:r w:rsidR="00AC417F">
        <w:rPr>
          <w:noProof/>
        </w:rPr>
        <w:t xml:space="preserve">data </w:t>
      </w:r>
      <w:r w:rsidRPr="005B05D0">
        <w:rPr>
          <w:noProof/>
        </w:rPr>
        <w:t>usage.</w:t>
      </w:r>
    </w:p>
    <w:p w14:paraId="7C684778" w14:textId="2172CD17" w:rsidR="003A64AB" w:rsidRPr="005B05D0" w:rsidRDefault="001C74D7" w:rsidP="00AB7B97">
      <w:pPr>
        <w:pStyle w:val="Tiret0"/>
        <w:rPr>
          <w:noProof/>
        </w:rPr>
      </w:pPr>
      <w:r w:rsidRPr="005B05D0">
        <w:rPr>
          <w:noProof/>
        </w:rPr>
        <w:t xml:space="preserve">Policy option 3: Mandate </w:t>
      </w:r>
      <w:r w:rsidR="009E054F">
        <w:rPr>
          <w:noProof/>
        </w:rPr>
        <w:t xml:space="preserve">the </w:t>
      </w:r>
      <w:r w:rsidRPr="005B05D0">
        <w:rPr>
          <w:noProof/>
        </w:rPr>
        <w:t xml:space="preserve">provision of essential services. This intervention </w:t>
      </w:r>
      <w:r w:rsidR="009E054F">
        <w:rPr>
          <w:noProof/>
        </w:rPr>
        <w:t>contains</w:t>
      </w:r>
      <w:r w:rsidR="009E054F" w:rsidRPr="005B05D0">
        <w:rPr>
          <w:noProof/>
        </w:rPr>
        <w:t xml:space="preserve"> </w:t>
      </w:r>
      <w:r w:rsidRPr="005B05D0">
        <w:rPr>
          <w:noProof/>
        </w:rPr>
        <w:t xml:space="preserve">the possibility </w:t>
      </w:r>
      <w:r w:rsidR="009E054F">
        <w:rPr>
          <w:noProof/>
        </w:rPr>
        <w:t>of</w:t>
      </w:r>
      <w:r w:rsidR="009E054F" w:rsidRPr="005B05D0">
        <w:rPr>
          <w:noProof/>
        </w:rPr>
        <w:t xml:space="preserve"> introduc</w:t>
      </w:r>
      <w:r w:rsidR="009E054F">
        <w:rPr>
          <w:noProof/>
        </w:rPr>
        <w:t>ing</w:t>
      </w:r>
      <w:r w:rsidR="009E054F" w:rsidRPr="005B05D0">
        <w:rPr>
          <w:noProof/>
        </w:rPr>
        <w:t xml:space="preserve"> mandat</w:t>
      </w:r>
      <w:r w:rsidR="009E054F">
        <w:rPr>
          <w:noProof/>
        </w:rPr>
        <w:t>ory</w:t>
      </w:r>
      <w:r w:rsidR="009E054F" w:rsidRPr="005B05D0">
        <w:rPr>
          <w:noProof/>
        </w:rPr>
        <w:t xml:space="preserve"> </w:t>
      </w:r>
      <w:r w:rsidRPr="005B05D0">
        <w:rPr>
          <w:noProof/>
        </w:rPr>
        <w:t xml:space="preserve">deployment of essential services through </w:t>
      </w:r>
      <w:r w:rsidR="00534713" w:rsidRPr="005B05D0">
        <w:rPr>
          <w:noProof/>
        </w:rPr>
        <w:t>d</w:t>
      </w:r>
      <w:r w:rsidRPr="005B05D0">
        <w:rPr>
          <w:noProof/>
        </w:rPr>
        <w:t xml:space="preserve">elegated </w:t>
      </w:r>
      <w:r w:rsidR="00534713" w:rsidRPr="005B05D0">
        <w:rPr>
          <w:noProof/>
        </w:rPr>
        <w:t>a</w:t>
      </w:r>
      <w:r w:rsidRPr="005B05D0">
        <w:rPr>
          <w:noProof/>
        </w:rPr>
        <w:t xml:space="preserve">cts. It especially capitalises on the increased availability, quality, exchange and usage </w:t>
      </w:r>
      <w:r w:rsidR="009E054F">
        <w:rPr>
          <w:noProof/>
        </w:rPr>
        <w:t xml:space="preserve">of data </w:t>
      </w:r>
      <w:r w:rsidRPr="005B05D0">
        <w:rPr>
          <w:noProof/>
        </w:rPr>
        <w:t xml:space="preserve">promoted by </w:t>
      </w:r>
      <w:r w:rsidR="009E054F">
        <w:rPr>
          <w:noProof/>
        </w:rPr>
        <w:t>p</w:t>
      </w:r>
      <w:r w:rsidRPr="005B05D0">
        <w:rPr>
          <w:noProof/>
        </w:rPr>
        <w:t xml:space="preserve">olicy </w:t>
      </w:r>
      <w:r w:rsidR="009E054F">
        <w:rPr>
          <w:noProof/>
        </w:rPr>
        <w:t>o</w:t>
      </w:r>
      <w:r w:rsidRPr="005B05D0">
        <w:rPr>
          <w:noProof/>
        </w:rPr>
        <w:t>ption 2</w:t>
      </w:r>
      <w:r w:rsidR="009E054F">
        <w:rPr>
          <w:noProof/>
        </w:rPr>
        <w:t>,</w:t>
      </w:r>
      <w:r w:rsidRPr="005B05D0">
        <w:rPr>
          <w:noProof/>
        </w:rPr>
        <w:t xml:space="preserve"> and aims to further support the deployment of interoperable and continuous services.</w:t>
      </w:r>
    </w:p>
    <w:p w14:paraId="478AC466" w14:textId="3A28826C" w:rsidR="00AD379B" w:rsidRPr="005B05D0" w:rsidRDefault="001216FF" w:rsidP="00093A0F">
      <w:pPr>
        <w:rPr>
          <w:noProof/>
        </w:rPr>
      </w:pPr>
      <w:r>
        <w:rPr>
          <w:noProof/>
        </w:rPr>
        <w:t>The Commission clearly prefers p</w:t>
      </w:r>
      <w:r w:rsidR="008F0253" w:rsidRPr="005B05D0">
        <w:rPr>
          <w:noProof/>
        </w:rPr>
        <w:t xml:space="preserve">olicy option 2 over policy option 1, as it achieves significantly </w:t>
      </w:r>
      <w:r>
        <w:rPr>
          <w:noProof/>
        </w:rPr>
        <w:t>greater</w:t>
      </w:r>
      <w:r w:rsidRPr="005B05D0">
        <w:rPr>
          <w:noProof/>
        </w:rPr>
        <w:t xml:space="preserve"> </w:t>
      </w:r>
      <w:r w:rsidR="008F0253" w:rsidRPr="005B05D0">
        <w:rPr>
          <w:noProof/>
        </w:rPr>
        <w:t xml:space="preserve">benefits and the </w:t>
      </w:r>
      <w:r>
        <w:rPr>
          <w:noProof/>
        </w:rPr>
        <w:t>best</w:t>
      </w:r>
      <w:r w:rsidRPr="005B05D0">
        <w:rPr>
          <w:noProof/>
        </w:rPr>
        <w:t xml:space="preserve"> </w:t>
      </w:r>
      <w:r w:rsidR="008F0253" w:rsidRPr="005B05D0">
        <w:rPr>
          <w:noProof/>
        </w:rPr>
        <w:t>cost</w:t>
      </w:r>
      <w:r>
        <w:rPr>
          <w:noProof/>
        </w:rPr>
        <w:t>-</w:t>
      </w:r>
      <w:r w:rsidR="008F0253" w:rsidRPr="005B05D0">
        <w:rPr>
          <w:noProof/>
        </w:rPr>
        <w:t xml:space="preserve">benefit ratio. The mandatory collection of data and resulting uptake of ITS services also greatly increases </w:t>
      </w:r>
      <w:r>
        <w:rPr>
          <w:noProof/>
        </w:rPr>
        <w:t>the</w:t>
      </w:r>
      <w:r w:rsidRPr="005B05D0">
        <w:rPr>
          <w:noProof/>
        </w:rPr>
        <w:t xml:space="preserve"> </w:t>
      </w:r>
      <w:r w:rsidR="008F0253" w:rsidRPr="005B05D0">
        <w:rPr>
          <w:noProof/>
        </w:rPr>
        <w:t xml:space="preserve">effectiveness </w:t>
      </w:r>
      <w:r>
        <w:rPr>
          <w:noProof/>
        </w:rPr>
        <w:t xml:space="preserve">of the Directive </w:t>
      </w:r>
      <w:r w:rsidR="008F0253" w:rsidRPr="005B05D0">
        <w:rPr>
          <w:noProof/>
        </w:rPr>
        <w:t xml:space="preserve">in achieving the objectives of the ITS Directive and makes it more coherent. Limiting the mandatory collection of data to crucial data </w:t>
      </w:r>
      <w:r>
        <w:rPr>
          <w:noProof/>
        </w:rPr>
        <w:t xml:space="preserve">– </w:t>
      </w:r>
      <w:r w:rsidR="008F0253" w:rsidRPr="005B05D0">
        <w:rPr>
          <w:noProof/>
        </w:rPr>
        <w:t xml:space="preserve">and the very significant benefits </w:t>
      </w:r>
      <w:r>
        <w:rPr>
          <w:noProof/>
        </w:rPr>
        <w:t xml:space="preserve">that would result from collecting this crucial data – </w:t>
      </w:r>
      <w:r w:rsidR="008F0253" w:rsidRPr="005B05D0">
        <w:rPr>
          <w:noProof/>
        </w:rPr>
        <w:t>also mean</w:t>
      </w:r>
      <w:r w:rsidR="00796345" w:rsidRPr="005B05D0">
        <w:rPr>
          <w:noProof/>
        </w:rPr>
        <w:t>s</w:t>
      </w:r>
      <w:r w:rsidR="008F0253" w:rsidRPr="005B05D0">
        <w:rPr>
          <w:noProof/>
        </w:rPr>
        <w:t xml:space="preserve"> </w:t>
      </w:r>
      <w:r>
        <w:rPr>
          <w:noProof/>
        </w:rPr>
        <w:t>that policy option 2</w:t>
      </w:r>
      <w:r w:rsidRPr="005B05D0">
        <w:rPr>
          <w:noProof/>
        </w:rPr>
        <w:t xml:space="preserve"> </w:t>
      </w:r>
      <w:r w:rsidR="008F0253" w:rsidRPr="005B05D0">
        <w:rPr>
          <w:noProof/>
        </w:rPr>
        <w:t>is proportional.</w:t>
      </w:r>
    </w:p>
    <w:p w14:paraId="319D55FF" w14:textId="1001F433" w:rsidR="008F16EF" w:rsidRPr="005B05D0" w:rsidRDefault="008F16EF" w:rsidP="00093A0F">
      <w:pPr>
        <w:rPr>
          <w:noProof/>
        </w:rPr>
      </w:pPr>
      <w:r w:rsidRPr="005B05D0">
        <w:rPr>
          <w:noProof/>
        </w:rPr>
        <w:t xml:space="preserve">The difference in net benefits between policy option 2 and policy option 3 is smaller than the difference between </w:t>
      </w:r>
      <w:r w:rsidR="00BB70F6">
        <w:rPr>
          <w:noProof/>
        </w:rPr>
        <w:t xml:space="preserve">the net benefits in </w:t>
      </w:r>
      <w:r w:rsidRPr="005B05D0">
        <w:rPr>
          <w:noProof/>
        </w:rPr>
        <w:t>policy option 1 and policy option 2</w:t>
      </w:r>
      <w:r w:rsidR="00BB70F6">
        <w:rPr>
          <w:noProof/>
        </w:rPr>
        <w:t>. Nevertheless</w:t>
      </w:r>
      <w:r w:rsidRPr="005B05D0">
        <w:rPr>
          <w:noProof/>
        </w:rPr>
        <w:t xml:space="preserve">, </w:t>
      </w:r>
      <w:r w:rsidR="00BB70F6">
        <w:rPr>
          <w:noProof/>
        </w:rPr>
        <w:t xml:space="preserve">the differences in </w:t>
      </w:r>
      <w:r w:rsidR="00BB70F6" w:rsidRPr="005B05D0">
        <w:rPr>
          <w:noProof/>
        </w:rPr>
        <w:t xml:space="preserve">net benefits between policy option 2 and policy option 3 </w:t>
      </w:r>
      <w:r w:rsidR="00796345" w:rsidRPr="005B05D0">
        <w:rPr>
          <w:noProof/>
        </w:rPr>
        <w:t>remain very significant. T</w:t>
      </w:r>
      <w:r w:rsidRPr="005B05D0">
        <w:rPr>
          <w:noProof/>
        </w:rPr>
        <w:t>he main difference is a considerable increase in safety</w:t>
      </w:r>
      <w:r w:rsidR="00BB70F6">
        <w:rPr>
          <w:noProof/>
        </w:rPr>
        <w:t>-</w:t>
      </w:r>
      <w:r w:rsidRPr="005B05D0">
        <w:rPr>
          <w:noProof/>
        </w:rPr>
        <w:t xml:space="preserve">related benefits expected in </w:t>
      </w:r>
      <w:r w:rsidR="00CB53DC" w:rsidRPr="005B05D0">
        <w:rPr>
          <w:noProof/>
        </w:rPr>
        <w:t>policy option 3</w:t>
      </w:r>
      <w:r w:rsidR="00BB70F6">
        <w:rPr>
          <w:noProof/>
        </w:rPr>
        <w:t xml:space="preserve"> compared to policy option 2</w:t>
      </w:r>
      <w:r w:rsidRPr="005B05D0">
        <w:rPr>
          <w:noProof/>
        </w:rPr>
        <w:t xml:space="preserve">. </w:t>
      </w:r>
      <w:r w:rsidR="00BB70F6">
        <w:rPr>
          <w:noProof/>
        </w:rPr>
        <w:t>Although</w:t>
      </w:r>
      <w:r w:rsidR="00BB70F6" w:rsidRPr="005B05D0">
        <w:rPr>
          <w:noProof/>
        </w:rPr>
        <w:t xml:space="preserve"> </w:t>
      </w:r>
      <w:r w:rsidR="00535F5D" w:rsidRPr="005B05D0">
        <w:rPr>
          <w:noProof/>
        </w:rPr>
        <w:t>policy option 3 also presents an increased level of costs, the marginal cost</w:t>
      </w:r>
      <w:r w:rsidR="00BB70F6">
        <w:rPr>
          <w:noProof/>
        </w:rPr>
        <w:t>-</w:t>
      </w:r>
      <w:r w:rsidR="00534713" w:rsidRPr="005B05D0">
        <w:rPr>
          <w:noProof/>
        </w:rPr>
        <w:t xml:space="preserve">benefit </w:t>
      </w:r>
      <w:r w:rsidR="00535F5D" w:rsidRPr="005B05D0">
        <w:rPr>
          <w:noProof/>
        </w:rPr>
        <w:t>ratio of the additional costs and benefits brought by policy option 3 is still positive. It is also the most coherent</w:t>
      </w:r>
      <w:r w:rsidR="00534713" w:rsidRPr="005B05D0">
        <w:rPr>
          <w:noProof/>
        </w:rPr>
        <w:t xml:space="preserve"> policy option</w:t>
      </w:r>
      <w:r w:rsidR="00796345" w:rsidRPr="005B05D0">
        <w:rPr>
          <w:noProof/>
        </w:rPr>
        <w:t>. T</w:t>
      </w:r>
      <w:r w:rsidR="00535F5D" w:rsidRPr="005B05D0">
        <w:rPr>
          <w:noProof/>
        </w:rPr>
        <w:t>he mandatory provision of essential ITS services for road safety</w:t>
      </w:r>
      <w:r w:rsidR="00BB70F6">
        <w:rPr>
          <w:noProof/>
        </w:rPr>
        <w:t xml:space="preserve"> –</w:t>
      </w:r>
      <w:r w:rsidR="00535F5D" w:rsidRPr="005B05D0">
        <w:rPr>
          <w:noProof/>
        </w:rPr>
        <w:t xml:space="preserve"> </w:t>
      </w:r>
      <w:r w:rsidR="00BB70F6">
        <w:rPr>
          <w:noProof/>
        </w:rPr>
        <w:t>al</w:t>
      </w:r>
      <w:r w:rsidR="00535F5D" w:rsidRPr="005B05D0">
        <w:rPr>
          <w:noProof/>
        </w:rPr>
        <w:t>though introduc</w:t>
      </w:r>
      <w:r w:rsidR="00796345" w:rsidRPr="005B05D0">
        <w:rPr>
          <w:noProof/>
        </w:rPr>
        <w:t>ing</w:t>
      </w:r>
      <w:r w:rsidR="00535F5D" w:rsidRPr="005B05D0">
        <w:rPr>
          <w:noProof/>
        </w:rPr>
        <w:t xml:space="preserve"> considerable compliance costs</w:t>
      </w:r>
      <w:r w:rsidR="00BB70F6">
        <w:rPr>
          <w:noProof/>
        </w:rPr>
        <w:t xml:space="preserve"> –</w:t>
      </w:r>
      <w:r w:rsidR="00535F5D" w:rsidRPr="005B05D0">
        <w:rPr>
          <w:noProof/>
        </w:rPr>
        <w:t xml:space="preserve"> is also proportional.</w:t>
      </w:r>
    </w:p>
    <w:p w14:paraId="7BF8E269" w14:textId="4034207C" w:rsidR="00CB53DC" w:rsidRPr="005B05D0" w:rsidRDefault="00CB53DC" w:rsidP="00093A0F">
      <w:pPr>
        <w:rPr>
          <w:noProof/>
        </w:rPr>
      </w:pPr>
      <w:r w:rsidRPr="005B05D0">
        <w:rPr>
          <w:noProof/>
        </w:rPr>
        <w:t xml:space="preserve">The policy option </w:t>
      </w:r>
      <w:r w:rsidR="00541AF2">
        <w:rPr>
          <w:noProof/>
        </w:rPr>
        <w:t xml:space="preserve">preferred by the Commission </w:t>
      </w:r>
      <w:r w:rsidRPr="005B05D0">
        <w:rPr>
          <w:noProof/>
        </w:rPr>
        <w:t>is th</w:t>
      </w:r>
      <w:r w:rsidR="00541AF2">
        <w:rPr>
          <w:noProof/>
        </w:rPr>
        <w:t>erefore</w:t>
      </w:r>
      <w:r w:rsidRPr="005B05D0">
        <w:rPr>
          <w:noProof/>
        </w:rPr>
        <w:t xml:space="preserve"> policy option 3</w:t>
      </w:r>
      <w:r w:rsidR="00796345" w:rsidRPr="005B05D0">
        <w:rPr>
          <w:noProof/>
        </w:rPr>
        <w:t xml:space="preserve"> (which includes policy options 1 and 2)</w:t>
      </w:r>
      <w:r w:rsidR="00541AF2">
        <w:rPr>
          <w:noProof/>
        </w:rPr>
        <w:t xml:space="preserve"> because: (i)</w:t>
      </w:r>
      <w:r w:rsidRPr="005B05D0">
        <w:rPr>
          <w:noProof/>
        </w:rPr>
        <w:t xml:space="preserve"> it generates the </w:t>
      </w:r>
      <w:r w:rsidR="00541AF2">
        <w:rPr>
          <w:noProof/>
        </w:rPr>
        <w:t>greatest</w:t>
      </w:r>
      <w:r w:rsidR="00541AF2" w:rsidRPr="005B05D0">
        <w:rPr>
          <w:noProof/>
        </w:rPr>
        <w:t xml:space="preserve"> </w:t>
      </w:r>
      <w:r w:rsidRPr="005B05D0">
        <w:rPr>
          <w:noProof/>
        </w:rPr>
        <w:t>net benefits</w:t>
      </w:r>
      <w:r w:rsidR="00541AF2">
        <w:rPr>
          <w:noProof/>
        </w:rPr>
        <w:t>; (ii) it</w:t>
      </w:r>
      <w:r w:rsidR="00541AF2" w:rsidRPr="005B05D0">
        <w:rPr>
          <w:noProof/>
        </w:rPr>
        <w:t xml:space="preserve"> </w:t>
      </w:r>
      <w:r w:rsidRPr="005B05D0">
        <w:rPr>
          <w:noProof/>
        </w:rPr>
        <w:t>is the most effective option</w:t>
      </w:r>
      <w:r w:rsidR="00541AF2">
        <w:rPr>
          <w:noProof/>
        </w:rPr>
        <w:t>; (iii) it</w:t>
      </w:r>
      <w:r w:rsidR="00541AF2" w:rsidRPr="005B05D0">
        <w:rPr>
          <w:noProof/>
        </w:rPr>
        <w:t xml:space="preserve"> </w:t>
      </w:r>
      <w:r w:rsidRPr="005B05D0">
        <w:rPr>
          <w:noProof/>
        </w:rPr>
        <w:t>best achieves the specific objectives of the ITS Directive</w:t>
      </w:r>
      <w:r w:rsidR="00541AF2">
        <w:rPr>
          <w:noProof/>
        </w:rPr>
        <w:t>;</w:t>
      </w:r>
      <w:r w:rsidRPr="005B05D0">
        <w:rPr>
          <w:noProof/>
        </w:rPr>
        <w:t xml:space="preserve"> and </w:t>
      </w:r>
      <w:r w:rsidR="00541AF2">
        <w:rPr>
          <w:noProof/>
        </w:rPr>
        <w:t xml:space="preserve">(iv) it </w:t>
      </w:r>
      <w:r w:rsidRPr="005B05D0">
        <w:rPr>
          <w:noProof/>
        </w:rPr>
        <w:t xml:space="preserve">best ensures the swift and coherent deployment of ITS services in line with the objectives of the </w:t>
      </w:r>
      <w:r w:rsidR="00541AF2">
        <w:rPr>
          <w:noProof/>
        </w:rPr>
        <w:t>s</w:t>
      </w:r>
      <w:r w:rsidRPr="005B05D0">
        <w:rPr>
          <w:noProof/>
        </w:rPr>
        <w:t>trategy.</w:t>
      </w:r>
    </w:p>
    <w:p w14:paraId="1612E0FD" w14:textId="1DDB7C6F" w:rsidR="00CB53DC" w:rsidRPr="005B05D0" w:rsidRDefault="00CB53DC" w:rsidP="00093A0F">
      <w:pPr>
        <w:rPr>
          <w:noProof/>
        </w:rPr>
      </w:pPr>
      <w:r w:rsidRPr="005B05D0">
        <w:rPr>
          <w:noProof/>
        </w:rPr>
        <w:t>The impact assessment includes a detailed description of the policy measures included under the different policy options, as well as the main impacts, costs and benefits</w:t>
      </w:r>
      <w:r w:rsidR="001E2640" w:rsidRPr="001E2640">
        <w:rPr>
          <w:noProof/>
        </w:rPr>
        <w:t xml:space="preserve"> </w:t>
      </w:r>
      <w:r w:rsidR="001E2640">
        <w:rPr>
          <w:noProof/>
        </w:rPr>
        <w:t>of each policy option</w:t>
      </w:r>
      <w:r w:rsidRPr="005B05D0">
        <w:rPr>
          <w:noProof/>
        </w:rPr>
        <w:t>.</w:t>
      </w:r>
    </w:p>
    <w:p w14:paraId="6D4E13B6" w14:textId="77777777" w:rsidR="00D94544" w:rsidRDefault="00D94544" w:rsidP="00D13454">
      <w:pPr>
        <w:pStyle w:val="ManualHeading2"/>
        <w:rPr>
          <w:rFonts w:eastAsia="Arial Unicode MS"/>
          <w:noProof/>
          <w:u w:color="000000"/>
          <w:bdr w:val="nil"/>
          <w:lang w:val="en-US" w:eastAsia="en-GB"/>
        </w:rPr>
      </w:pPr>
      <w:r w:rsidRPr="007718A8">
        <w:rPr>
          <w:rFonts w:eastAsia="Arial Unicode MS"/>
          <w:noProof/>
          <w:u w:color="000000"/>
          <w:bdr w:val="nil"/>
          <w:lang w:val="en-US" w:eastAsia="en-GB"/>
        </w:rPr>
        <w:t>•</w:t>
      </w:r>
      <w:r w:rsidRPr="007718A8">
        <w:rPr>
          <w:rFonts w:eastAsia="Arial Unicode MS"/>
          <w:noProof/>
          <w:u w:color="000000"/>
          <w:bdr w:val="nil"/>
          <w:lang w:val="en-US" w:eastAsia="en-GB"/>
        </w:rPr>
        <w:tab/>
        <w:t>Regulatory fitness and simplification</w:t>
      </w:r>
    </w:p>
    <w:p w14:paraId="67572A18" w14:textId="7B54BA25" w:rsidR="00D94544" w:rsidRPr="00882C0B" w:rsidRDefault="00997CCA" w:rsidP="00093A0F">
      <w:pPr>
        <w:rPr>
          <w:noProof/>
        </w:rPr>
      </w:pPr>
      <w:r w:rsidRPr="005B05D0">
        <w:rPr>
          <w:noProof/>
        </w:rPr>
        <w:t xml:space="preserve">The proposal will reduce </w:t>
      </w:r>
      <w:r w:rsidR="00204B15">
        <w:rPr>
          <w:noProof/>
        </w:rPr>
        <w:t xml:space="preserve">the </w:t>
      </w:r>
      <w:r w:rsidRPr="005B05D0">
        <w:rPr>
          <w:noProof/>
        </w:rPr>
        <w:t xml:space="preserve">administrative costs of Member States, as it streamlines </w:t>
      </w:r>
      <w:r w:rsidR="00204B15">
        <w:rPr>
          <w:noProof/>
        </w:rPr>
        <w:t xml:space="preserve">recurrent </w:t>
      </w:r>
      <w:r w:rsidRPr="005B05D0">
        <w:rPr>
          <w:noProof/>
        </w:rPr>
        <w:t xml:space="preserve">reporting obligations, </w:t>
      </w:r>
      <w:r w:rsidR="00204B15">
        <w:rPr>
          <w:noProof/>
        </w:rPr>
        <w:t>and enables the use of</w:t>
      </w:r>
      <w:r w:rsidR="00204B15" w:rsidRPr="005B05D0">
        <w:rPr>
          <w:noProof/>
        </w:rPr>
        <w:t xml:space="preserve"> </w:t>
      </w:r>
      <w:r w:rsidRPr="005B05D0">
        <w:rPr>
          <w:noProof/>
        </w:rPr>
        <w:t xml:space="preserve">a common </w:t>
      </w:r>
      <w:r w:rsidR="00204B15">
        <w:rPr>
          <w:noProof/>
        </w:rPr>
        <w:t xml:space="preserve">system for </w:t>
      </w:r>
      <w:r w:rsidRPr="005B05D0">
        <w:rPr>
          <w:noProof/>
        </w:rPr>
        <w:t>report</w:t>
      </w:r>
      <w:r w:rsidR="00204B15">
        <w:rPr>
          <w:noProof/>
        </w:rPr>
        <w:t>ing</w:t>
      </w:r>
      <w:r w:rsidRPr="005B05D0">
        <w:rPr>
          <w:noProof/>
        </w:rPr>
        <w:t xml:space="preserve"> </w:t>
      </w:r>
      <w:r w:rsidR="00204B15">
        <w:rPr>
          <w:noProof/>
        </w:rPr>
        <w:t>on</w:t>
      </w:r>
      <w:r w:rsidR="00204B15" w:rsidRPr="005B05D0">
        <w:rPr>
          <w:noProof/>
        </w:rPr>
        <w:t xml:space="preserve"> </w:t>
      </w:r>
      <w:r w:rsidRPr="005B05D0">
        <w:rPr>
          <w:noProof/>
        </w:rPr>
        <w:t xml:space="preserve">the implementation of the Directive and its </w:t>
      </w:r>
      <w:r w:rsidR="00534713" w:rsidRPr="005B05D0">
        <w:rPr>
          <w:noProof/>
        </w:rPr>
        <w:t>d</w:t>
      </w:r>
      <w:r w:rsidRPr="005B05D0">
        <w:rPr>
          <w:noProof/>
        </w:rPr>
        <w:t xml:space="preserve">elegated </w:t>
      </w:r>
      <w:r w:rsidR="00534713" w:rsidRPr="005B05D0">
        <w:rPr>
          <w:noProof/>
        </w:rPr>
        <w:t>a</w:t>
      </w:r>
      <w:r w:rsidRPr="005B05D0">
        <w:rPr>
          <w:noProof/>
        </w:rPr>
        <w:t xml:space="preserve">cts. Based on a common template and common key performance indicators, it will also </w:t>
      </w:r>
      <w:r w:rsidR="00204B15">
        <w:rPr>
          <w:noProof/>
        </w:rPr>
        <w:t xml:space="preserve">make it easier to </w:t>
      </w:r>
      <w:r w:rsidRPr="005B05D0">
        <w:rPr>
          <w:noProof/>
        </w:rPr>
        <w:t>analys</w:t>
      </w:r>
      <w:r w:rsidR="00204B15">
        <w:rPr>
          <w:noProof/>
        </w:rPr>
        <w:t>e</w:t>
      </w:r>
      <w:r w:rsidRPr="005B05D0">
        <w:rPr>
          <w:noProof/>
        </w:rPr>
        <w:t xml:space="preserve"> and compar</w:t>
      </w:r>
      <w:r w:rsidR="00204B15">
        <w:rPr>
          <w:noProof/>
        </w:rPr>
        <w:t>e</w:t>
      </w:r>
      <w:r w:rsidRPr="005B05D0">
        <w:rPr>
          <w:noProof/>
        </w:rPr>
        <w:t xml:space="preserve"> reports.</w:t>
      </w:r>
      <w:r w:rsidR="008F05F4" w:rsidRPr="005B05D0">
        <w:rPr>
          <w:noProof/>
        </w:rPr>
        <w:t xml:space="preserve"> However, </w:t>
      </w:r>
      <w:r w:rsidR="00204B15">
        <w:rPr>
          <w:noProof/>
        </w:rPr>
        <w:t>the proposal</w:t>
      </w:r>
      <w:r w:rsidR="00204B15" w:rsidRPr="005B05D0">
        <w:rPr>
          <w:noProof/>
        </w:rPr>
        <w:t xml:space="preserve"> </w:t>
      </w:r>
      <w:r w:rsidR="008F05F4" w:rsidRPr="005B05D0">
        <w:rPr>
          <w:noProof/>
        </w:rPr>
        <w:t xml:space="preserve">may also increase coordination costs related to data collection, in particular </w:t>
      </w:r>
      <w:r w:rsidR="008C6472" w:rsidRPr="005B05D0">
        <w:rPr>
          <w:noProof/>
        </w:rPr>
        <w:t>regarding</w:t>
      </w:r>
      <w:r w:rsidR="008F05F4" w:rsidRPr="005B05D0">
        <w:rPr>
          <w:noProof/>
        </w:rPr>
        <w:t xml:space="preserve"> local authorities.</w:t>
      </w:r>
    </w:p>
    <w:p w14:paraId="15F6DA06" w14:textId="002456E2" w:rsidR="00D94544" w:rsidRPr="005B05D0" w:rsidRDefault="00997CCA" w:rsidP="00093A0F">
      <w:pPr>
        <w:rPr>
          <w:noProof/>
        </w:rPr>
      </w:pPr>
      <w:r w:rsidRPr="005B05D0">
        <w:rPr>
          <w:noProof/>
        </w:rPr>
        <w:t>SMEs are not a specific target of the policy measures</w:t>
      </w:r>
      <w:r w:rsidR="00203A2C">
        <w:rPr>
          <w:noProof/>
        </w:rPr>
        <w:t>,</w:t>
      </w:r>
      <w:r w:rsidRPr="005B05D0">
        <w:rPr>
          <w:noProof/>
        </w:rPr>
        <w:t xml:space="preserve"> and there is no indication that </w:t>
      </w:r>
      <w:r w:rsidR="00203A2C">
        <w:rPr>
          <w:noProof/>
        </w:rPr>
        <w:t xml:space="preserve">the policy measures will have </w:t>
      </w:r>
      <w:r w:rsidRPr="005B05D0">
        <w:rPr>
          <w:noProof/>
        </w:rPr>
        <w:t xml:space="preserve">a differentiated impact </w:t>
      </w:r>
      <w:r w:rsidR="00203A2C">
        <w:rPr>
          <w:noProof/>
        </w:rPr>
        <w:t>on</w:t>
      </w:r>
      <w:r w:rsidRPr="005B05D0">
        <w:rPr>
          <w:noProof/>
        </w:rPr>
        <w:t xml:space="preserve"> companies of different sizes. However, a fragmented market would have </w:t>
      </w:r>
      <w:r w:rsidR="00BF69A3">
        <w:rPr>
          <w:noProof/>
        </w:rPr>
        <w:t>arisen</w:t>
      </w:r>
      <w:r w:rsidRPr="005B05D0">
        <w:rPr>
          <w:noProof/>
        </w:rPr>
        <w:t xml:space="preserve"> without introduc</w:t>
      </w:r>
      <w:r w:rsidR="00BF69A3">
        <w:rPr>
          <w:noProof/>
        </w:rPr>
        <w:t>ing</w:t>
      </w:r>
      <w:r w:rsidRPr="005B05D0">
        <w:rPr>
          <w:noProof/>
        </w:rPr>
        <w:t xml:space="preserve"> new data specifications and standard requirements and </w:t>
      </w:r>
      <w:r w:rsidR="00BF69A3">
        <w:rPr>
          <w:noProof/>
        </w:rPr>
        <w:t xml:space="preserve">without </w:t>
      </w:r>
      <w:r w:rsidRPr="005B05D0">
        <w:rPr>
          <w:noProof/>
        </w:rPr>
        <w:t>the widespread use of NAPs</w:t>
      </w:r>
      <w:r w:rsidR="00BF69A3">
        <w:rPr>
          <w:noProof/>
        </w:rPr>
        <w:t>.</w:t>
      </w:r>
      <w:r w:rsidR="00BF69A3" w:rsidRPr="005B05D0">
        <w:rPr>
          <w:noProof/>
        </w:rPr>
        <w:t xml:space="preserve"> </w:t>
      </w:r>
      <w:r w:rsidR="00BF69A3">
        <w:rPr>
          <w:noProof/>
        </w:rPr>
        <w:t>If this fragmented market continued it</w:t>
      </w:r>
      <w:r w:rsidR="00BF69A3" w:rsidRPr="005B05D0">
        <w:rPr>
          <w:noProof/>
        </w:rPr>
        <w:t xml:space="preserve"> </w:t>
      </w:r>
      <w:r w:rsidRPr="005B05D0">
        <w:rPr>
          <w:noProof/>
        </w:rPr>
        <w:t>m</w:t>
      </w:r>
      <w:r w:rsidR="00BF69A3">
        <w:rPr>
          <w:noProof/>
        </w:rPr>
        <w:t>ight</w:t>
      </w:r>
      <w:r w:rsidRPr="005B05D0">
        <w:rPr>
          <w:noProof/>
        </w:rPr>
        <w:t xml:space="preserve"> produce a comparative advantage for larger companies compared to SMEs. In a harmonised market</w:t>
      </w:r>
      <w:r w:rsidR="00BF69A3">
        <w:rPr>
          <w:noProof/>
        </w:rPr>
        <w:t xml:space="preserve"> with harmonised</w:t>
      </w:r>
      <w:r w:rsidRPr="005B05D0">
        <w:rPr>
          <w:noProof/>
        </w:rPr>
        <w:t xml:space="preserve"> standards, SMEs will benefit from lower barrier</w:t>
      </w:r>
      <w:r w:rsidR="00796345" w:rsidRPr="005B05D0">
        <w:rPr>
          <w:noProof/>
        </w:rPr>
        <w:t>s</w:t>
      </w:r>
      <w:r w:rsidRPr="005B05D0">
        <w:rPr>
          <w:noProof/>
        </w:rPr>
        <w:t xml:space="preserve"> </w:t>
      </w:r>
      <w:r w:rsidR="00BF69A3">
        <w:rPr>
          <w:noProof/>
        </w:rPr>
        <w:t xml:space="preserve">to entry </w:t>
      </w:r>
      <w:r w:rsidRPr="005B05D0">
        <w:rPr>
          <w:noProof/>
        </w:rPr>
        <w:t>to expand their operations and compete on an equal basis with larger enterprises.</w:t>
      </w:r>
    </w:p>
    <w:p w14:paraId="3A16E2F5" w14:textId="7C8BB815" w:rsidR="00D94544" w:rsidRPr="005B05D0" w:rsidRDefault="00A41F15" w:rsidP="00093A0F">
      <w:pPr>
        <w:rPr>
          <w:noProof/>
        </w:rPr>
      </w:pPr>
      <w:r w:rsidRPr="005B05D0">
        <w:rPr>
          <w:noProof/>
        </w:rPr>
        <w:t xml:space="preserve">The proposal is expected to contribute </w:t>
      </w:r>
      <w:r w:rsidR="00BF69A3">
        <w:rPr>
          <w:noProof/>
        </w:rPr>
        <w:t xml:space="preserve">greatly </w:t>
      </w:r>
      <w:r w:rsidRPr="005B05D0">
        <w:rPr>
          <w:noProof/>
        </w:rPr>
        <w:t xml:space="preserve">to the establishment of the </w:t>
      </w:r>
      <w:r w:rsidR="00BF69A3">
        <w:rPr>
          <w:noProof/>
        </w:rPr>
        <w:t>c</w:t>
      </w:r>
      <w:r w:rsidRPr="005B05D0">
        <w:rPr>
          <w:noProof/>
        </w:rPr>
        <w:t xml:space="preserve">ommon European </w:t>
      </w:r>
      <w:r w:rsidR="00BF69A3">
        <w:rPr>
          <w:noProof/>
        </w:rPr>
        <w:t>m</w:t>
      </w:r>
      <w:r w:rsidRPr="005B05D0">
        <w:rPr>
          <w:noProof/>
        </w:rPr>
        <w:t xml:space="preserve">obility </w:t>
      </w:r>
      <w:r w:rsidR="00BF69A3">
        <w:rPr>
          <w:noProof/>
        </w:rPr>
        <w:t>d</w:t>
      </w:r>
      <w:r w:rsidRPr="005B05D0">
        <w:rPr>
          <w:noProof/>
        </w:rPr>
        <w:t xml:space="preserve">ata </w:t>
      </w:r>
      <w:r w:rsidR="00BF69A3">
        <w:rPr>
          <w:noProof/>
        </w:rPr>
        <w:t>s</w:t>
      </w:r>
      <w:r w:rsidRPr="005B05D0">
        <w:rPr>
          <w:noProof/>
        </w:rPr>
        <w:t xml:space="preserve">pace, </w:t>
      </w:r>
      <w:r w:rsidR="00BF69A3">
        <w:rPr>
          <w:noProof/>
        </w:rPr>
        <w:t>under</w:t>
      </w:r>
      <w:r w:rsidRPr="005B05D0">
        <w:rPr>
          <w:noProof/>
        </w:rPr>
        <w:t xml:space="preserve"> the European strategy for data</w:t>
      </w:r>
      <w:r w:rsidR="00BF69A3">
        <w:rPr>
          <w:noProof/>
        </w:rPr>
        <w:t>. It will contribute to the c</w:t>
      </w:r>
      <w:r w:rsidR="00BF69A3" w:rsidRPr="005B05D0">
        <w:rPr>
          <w:noProof/>
        </w:rPr>
        <w:t xml:space="preserve">ommon European </w:t>
      </w:r>
      <w:r w:rsidR="00BF69A3">
        <w:rPr>
          <w:noProof/>
        </w:rPr>
        <w:t>m</w:t>
      </w:r>
      <w:r w:rsidR="00BF69A3" w:rsidRPr="005B05D0">
        <w:rPr>
          <w:noProof/>
        </w:rPr>
        <w:t>obility</w:t>
      </w:r>
      <w:r w:rsidR="00BF69A3">
        <w:rPr>
          <w:noProof/>
        </w:rPr>
        <w:t xml:space="preserve"> d</w:t>
      </w:r>
      <w:r w:rsidR="00BF69A3" w:rsidRPr="005B05D0">
        <w:rPr>
          <w:noProof/>
        </w:rPr>
        <w:t xml:space="preserve">ata </w:t>
      </w:r>
      <w:r w:rsidR="00BF69A3">
        <w:rPr>
          <w:noProof/>
        </w:rPr>
        <w:t>s</w:t>
      </w:r>
      <w:r w:rsidR="00BF69A3" w:rsidRPr="005B05D0">
        <w:rPr>
          <w:noProof/>
        </w:rPr>
        <w:t>pace</w:t>
      </w:r>
      <w:r w:rsidRPr="005B05D0">
        <w:rPr>
          <w:noProof/>
        </w:rPr>
        <w:t xml:space="preserve"> by increasing the availability of data on the NAPs,</w:t>
      </w:r>
      <w:r w:rsidR="00DE06B1" w:rsidRPr="005B05D0">
        <w:rPr>
          <w:noProof/>
        </w:rPr>
        <w:t xml:space="preserve"> and simplify</w:t>
      </w:r>
      <w:r w:rsidR="00BF69A3">
        <w:rPr>
          <w:noProof/>
        </w:rPr>
        <w:t>ing</w:t>
      </w:r>
      <w:r w:rsidR="00DE06B1" w:rsidRPr="005B05D0">
        <w:rPr>
          <w:noProof/>
        </w:rPr>
        <w:t xml:space="preserve"> the re</w:t>
      </w:r>
      <w:r w:rsidR="00BF69A3">
        <w:rPr>
          <w:noProof/>
        </w:rPr>
        <w:t>-</w:t>
      </w:r>
      <w:r w:rsidR="00DE06B1" w:rsidRPr="005B05D0">
        <w:rPr>
          <w:noProof/>
        </w:rPr>
        <w:t xml:space="preserve">use of data </w:t>
      </w:r>
      <w:r w:rsidR="00BF69A3">
        <w:rPr>
          <w:noProof/>
        </w:rPr>
        <w:t>by</w:t>
      </w:r>
      <w:r w:rsidR="00BF69A3" w:rsidRPr="005B05D0">
        <w:rPr>
          <w:noProof/>
        </w:rPr>
        <w:t xml:space="preserve"> </w:t>
      </w:r>
      <w:r w:rsidR="00DE06B1" w:rsidRPr="005B05D0">
        <w:rPr>
          <w:noProof/>
        </w:rPr>
        <w:t>standardis</w:t>
      </w:r>
      <w:r w:rsidR="00806393">
        <w:rPr>
          <w:noProof/>
        </w:rPr>
        <w:t>ing</w:t>
      </w:r>
      <w:r w:rsidR="00DE06B1" w:rsidRPr="005B05D0">
        <w:rPr>
          <w:noProof/>
        </w:rPr>
        <w:t xml:space="preserve"> the data exchanges and harmonis</w:t>
      </w:r>
      <w:r w:rsidR="00806393">
        <w:rPr>
          <w:noProof/>
        </w:rPr>
        <w:t>ing</w:t>
      </w:r>
      <w:r w:rsidR="00DE06B1" w:rsidRPr="005B05D0">
        <w:rPr>
          <w:noProof/>
        </w:rPr>
        <w:t xml:space="preserve"> access conditions.</w:t>
      </w:r>
      <w:r w:rsidRPr="005B05D0">
        <w:rPr>
          <w:noProof/>
        </w:rPr>
        <w:t xml:space="preserve"> </w:t>
      </w:r>
    </w:p>
    <w:p w14:paraId="1B0DB57C" w14:textId="77777777" w:rsidR="00D94544" w:rsidRDefault="00D94544" w:rsidP="00D13454">
      <w:pPr>
        <w:pStyle w:val="ManualHeading2"/>
        <w:rPr>
          <w:rFonts w:eastAsia="Arial Unicode MS"/>
          <w:noProof/>
          <w:u w:color="000000"/>
          <w:bdr w:val="nil"/>
          <w:lang w:val="en-US" w:eastAsia="en-GB"/>
        </w:rPr>
      </w:pPr>
      <w:r w:rsidRPr="007718A8">
        <w:rPr>
          <w:rFonts w:eastAsia="Arial Unicode MS"/>
          <w:noProof/>
          <w:u w:color="000000"/>
          <w:bdr w:val="nil"/>
          <w:lang w:val="en-US" w:eastAsia="en-GB"/>
        </w:rPr>
        <w:t>•</w:t>
      </w:r>
      <w:r w:rsidRPr="007718A8">
        <w:rPr>
          <w:rFonts w:eastAsia="Arial Unicode MS"/>
          <w:noProof/>
          <w:u w:color="000000"/>
          <w:bdr w:val="nil"/>
          <w:lang w:val="en-US" w:eastAsia="en-GB"/>
        </w:rPr>
        <w:tab/>
        <w:t>Fundamental rights</w:t>
      </w:r>
    </w:p>
    <w:p w14:paraId="66BF1CBE" w14:textId="5ADF8D32" w:rsidR="008138AF" w:rsidRPr="00882C0B" w:rsidRDefault="008138AF" w:rsidP="00093A0F">
      <w:pPr>
        <w:rPr>
          <w:noProof/>
        </w:rPr>
      </w:pPr>
      <w:r w:rsidRPr="008138AF">
        <w:rPr>
          <w:noProof/>
        </w:rPr>
        <w:t>In order to reach the objective of a safe, sustainable, smart and resilient mobility it may be required to process travel, traffic or road data that include personal data. When processing of personal data is required to achieve the objectives of the ITS Directive, more detailed rules, e.g. on which data are to be collected by whom for which specific purposes can only be laid down in tertiary acts based on it. When proposing those acts, the Commission will duly take data protection requirements into account.</w:t>
      </w:r>
    </w:p>
    <w:p w14:paraId="04E7E4F2" w14:textId="77777777" w:rsidR="00D94544" w:rsidRDefault="00D94544" w:rsidP="00D13454">
      <w:pPr>
        <w:pStyle w:val="ManualHeading1"/>
        <w:rPr>
          <w:noProof/>
        </w:rPr>
      </w:pPr>
      <w:r w:rsidRPr="00550536">
        <w:rPr>
          <w:noProof/>
        </w:rPr>
        <w:t>4.</w:t>
      </w:r>
      <w:r w:rsidRPr="00550536">
        <w:rPr>
          <w:noProof/>
        </w:rPr>
        <w:tab/>
        <w:t>BUDGETARY IMPLICATIONS</w:t>
      </w:r>
    </w:p>
    <w:p w14:paraId="4F46CEB0" w14:textId="77777777" w:rsidR="00D94544" w:rsidRPr="00882C0B" w:rsidRDefault="00A66A07" w:rsidP="00093A0F">
      <w:pPr>
        <w:rPr>
          <w:noProof/>
        </w:rPr>
      </w:pPr>
      <w:r w:rsidRPr="005B05D0">
        <w:rPr>
          <w:noProof/>
        </w:rPr>
        <w:t>The proposal has no impact on the European Union budget.</w:t>
      </w:r>
    </w:p>
    <w:p w14:paraId="6A74074F" w14:textId="77777777" w:rsidR="00D94544" w:rsidRPr="00550536" w:rsidRDefault="00D94544" w:rsidP="00D13454">
      <w:pPr>
        <w:pStyle w:val="ManualHeading1"/>
        <w:rPr>
          <w:noProof/>
        </w:rPr>
      </w:pPr>
      <w:r w:rsidRPr="00550536">
        <w:rPr>
          <w:noProof/>
        </w:rPr>
        <w:t>5.</w:t>
      </w:r>
      <w:r w:rsidRPr="00550536">
        <w:rPr>
          <w:noProof/>
        </w:rPr>
        <w:tab/>
        <w:t>OTHER ELEMENTS</w:t>
      </w:r>
    </w:p>
    <w:p w14:paraId="3910CE9C" w14:textId="20BE79B9" w:rsidR="0007411B" w:rsidRDefault="0007411B" w:rsidP="0007411B">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r>
      <w:r w:rsidRPr="0007411B">
        <w:rPr>
          <w:rFonts w:eastAsia="Arial Unicode MS"/>
          <w:noProof/>
          <w:u w:color="000000"/>
          <w:bdr w:val="nil"/>
          <w:lang w:val="en-US" w:eastAsia="en-GB"/>
        </w:rPr>
        <w:t>EU C-ITS framework for the provision of trusted and secure communication</w:t>
      </w:r>
    </w:p>
    <w:p w14:paraId="442C327D" w14:textId="306C1E31" w:rsidR="0007411B" w:rsidRDefault="0007411B" w:rsidP="0007411B">
      <w:pPr>
        <w:rPr>
          <w:noProof/>
        </w:rPr>
      </w:pPr>
      <w:r>
        <w:rPr>
          <w:noProof/>
        </w:rPr>
        <w:t>The Commission draws on its operational experience of implementing the ‘Security architecture for connected infrastructure and vehicles in Europe’ support action which entrusted the Joint Research Centre with the implementation of the pilot phase (2018-202</w:t>
      </w:r>
      <w:r w:rsidR="004518AD">
        <w:rPr>
          <w:noProof/>
        </w:rPr>
        <w:t>2</w:t>
      </w:r>
      <w:r>
        <w:rPr>
          <w:noProof/>
        </w:rPr>
        <w:t xml:space="preserve">) of the EU Cooperative ITS (C-ITS) security credential management system. </w:t>
      </w:r>
    </w:p>
    <w:p w14:paraId="52681873" w14:textId="71500715" w:rsidR="0007411B" w:rsidRPr="00B401F3" w:rsidRDefault="0007411B" w:rsidP="00B401F3">
      <w:pPr>
        <w:rPr>
          <w:noProof/>
        </w:rPr>
      </w:pPr>
      <w:r w:rsidRPr="00B401F3">
        <w:rPr>
          <w:noProof/>
        </w:rPr>
        <w:t xml:space="preserve">Pending the </w:t>
      </w:r>
      <w:r w:rsidR="005F439B">
        <w:rPr>
          <w:noProof/>
        </w:rPr>
        <w:t>formalis</w:t>
      </w:r>
      <w:r w:rsidR="005F439B" w:rsidRPr="005F439B">
        <w:rPr>
          <w:noProof/>
        </w:rPr>
        <w:t>ation of such s</w:t>
      </w:r>
      <w:r w:rsidR="005F439B">
        <w:rPr>
          <w:noProof/>
        </w:rPr>
        <w:t>ystem into a binding framework (</w:t>
      </w:r>
      <w:r w:rsidR="005F439B" w:rsidRPr="005F439B">
        <w:rPr>
          <w:noProof/>
        </w:rPr>
        <w:t xml:space="preserve">and the possible future </w:t>
      </w:r>
      <w:r w:rsidRPr="00B401F3">
        <w:rPr>
          <w:noProof/>
        </w:rPr>
        <w:t>establishment of dedicated entities to govern</w:t>
      </w:r>
      <w:r w:rsidR="005F439B">
        <w:rPr>
          <w:noProof/>
        </w:rPr>
        <w:t xml:space="preserve"> it</w:t>
      </w:r>
      <w:r w:rsidR="006B5218">
        <w:rPr>
          <w:noProof/>
        </w:rPr>
        <w:t>)</w:t>
      </w:r>
      <w:r w:rsidRPr="00B401F3">
        <w:rPr>
          <w:noProof/>
        </w:rPr>
        <w:t xml:space="preserve">, the Commission </w:t>
      </w:r>
      <w:r w:rsidR="005F439B" w:rsidRPr="005F439B">
        <w:rPr>
          <w:noProof/>
        </w:rPr>
        <w:t xml:space="preserve">is identified as the subject that will take the roles of </w:t>
      </w:r>
      <w:r w:rsidRPr="00B401F3">
        <w:rPr>
          <w:noProof/>
        </w:rPr>
        <w:t>C</w:t>
      </w:r>
      <w:r w:rsidR="00821AFD">
        <w:rPr>
          <w:noProof/>
        </w:rPr>
        <w:t>-</w:t>
      </w:r>
      <w:r w:rsidRPr="00B401F3">
        <w:rPr>
          <w:noProof/>
        </w:rPr>
        <w:t>ITS certificate policy authority, trust list manager, and C-ITS point of contact.</w:t>
      </w:r>
    </w:p>
    <w:p w14:paraId="00494595" w14:textId="3ECF0AAD" w:rsidR="00D94544" w:rsidRDefault="00D94544" w:rsidP="00D13454">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Implementation plans and </w:t>
      </w:r>
      <w:r w:rsidR="00332392" w:rsidRPr="007718A8">
        <w:rPr>
          <w:rFonts w:eastAsia="Arial Unicode MS"/>
          <w:noProof/>
          <w:u w:color="000000"/>
          <w:bdr w:val="nil"/>
          <w:lang w:val="en-US" w:eastAsia="en-GB"/>
        </w:rPr>
        <w:t xml:space="preserve">arrangements </w:t>
      </w:r>
      <w:r w:rsidR="00332392">
        <w:rPr>
          <w:rFonts w:eastAsia="Arial Unicode MS"/>
          <w:noProof/>
          <w:u w:color="000000"/>
          <w:bdr w:val="nil"/>
          <w:lang w:val="en-US" w:eastAsia="en-GB"/>
        </w:rPr>
        <w:t xml:space="preserve">for </w:t>
      </w:r>
      <w:r w:rsidRPr="007718A8">
        <w:rPr>
          <w:rFonts w:eastAsia="Arial Unicode MS"/>
          <w:noProof/>
          <w:u w:color="000000"/>
          <w:bdr w:val="nil"/>
          <w:lang w:val="en-US" w:eastAsia="en-GB"/>
        </w:rPr>
        <w:t xml:space="preserve">monitoring, evaluation and reporting </w:t>
      </w:r>
    </w:p>
    <w:p w14:paraId="15FF1D7A" w14:textId="5CA8A18E" w:rsidR="00D94544" w:rsidRPr="005B05D0" w:rsidRDefault="00E94B7E" w:rsidP="00093A0F">
      <w:pPr>
        <w:rPr>
          <w:noProof/>
        </w:rPr>
      </w:pPr>
      <w:r w:rsidRPr="005B05D0">
        <w:rPr>
          <w:noProof/>
        </w:rPr>
        <w:t xml:space="preserve">The Commission will adopt working programmes every </w:t>
      </w:r>
      <w:r w:rsidR="00FE1C41">
        <w:rPr>
          <w:noProof/>
        </w:rPr>
        <w:t>5</w:t>
      </w:r>
      <w:r w:rsidR="00FE1C41" w:rsidRPr="005B05D0">
        <w:rPr>
          <w:noProof/>
        </w:rPr>
        <w:t xml:space="preserve"> </w:t>
      </w:r>
      <w:r w:rsidRPr="005B05D0">
        <w:rPr>
          <w:noProof/>
        </w:rPr>
        <w:t xml:space="preserve">years, which will </w:t>
      </w:r>
      <w:r w:rsidR="00FE1C41">
        <w:rPr>
          <w:noProof/>
        </w:rPr>
        <w:t>set out</w:t>
      </w:r>
      <w:r w:rsidR="00FE1C41" w:rsidRPr="005B05D0">
        <w:rPr>
          <w:noProof/>
        </w:rPr>
        <w:t xml:space="preserve"> </w:t>
      </w:r>
      <w:r w:rsidR="00C27C9C" w:rsidRPr="005B05D0">
        <w:rPr>
          <w:noProof/>
        </w:rPr>
        <w:t xml:space="preserve">the actions for which possible European specifications may be adopted, or </w:t>
      </w:r>
      <w:r w:rsidR="00FE1C41">
        <w:rPr>
          <w:noProof/>
        </w:rPr>
        <w:t xml:space="preserve">for which </w:t>
      </w:r>
      <w:r w:rsidR="00C27C9C" w:rsidRPr="005B05D0">
        <w:rPr>
          <w:noProof/>
        </w:rPr>
        <w:t>additional data or ITS services may be mandated.</w:t>
      </w:r>
    </w:p>
    <w:p w14:paraId="771A9B93" w14:textId="5C6FBC8A" w:rsidR="00C27C9C" w:rsidRPr="005B05D0" w:rsidRDefault="00C27C9C" w:rsidP="00093A0F">
      <w:pPr>
        <w:rPr>
          <w:noProof/>
        </w:rPr>
      </w:pPr>
      <w:r w:rsidRPr="005B05D0">
        <w:rPr>
          <w:noProof/>
        </w:rPr>
        <w:t xml:space="preserve">Member States will report every </w:t>
      </w:r>
      <w:r w:rsidR="00FE1C41">
        <w:rPr>
          <w:noProof/>
        </w:rPr>
        <w:t>3</w:t>
      </w:r>
      <w:r w:rsidR="00FE1C41" w:rsidRPr="005B05D0">
        <w:rPr>
          <w:noProof/>
        </w:rPr>
        <w:t xml:space="preserve"> </w:t>
      </w:r>
      <w:r w:rsidRPr="005B05D0">
        <w:rPr>
          <w:noProof/>
        </w:rPr>
        <w:t>years on the</w:t>
      </w:r>
      <w:r w:rsidR="00FE1C41">
        <w:rPr>
          <w:noProof/>
        </w:rPr>
        <w:t>ir</w:t>
      </w:r>
      <w:r w:rsidRPr="005B05D0">
        <w:rPr>
          <w:noProof/>
        </w:rPr>
        <w:t xml:space="preserve"> progress </w:t>
      </w:r>
      <w:r w:rsidR="00FE1C41">
        <w:rPr>
          <w:noProof/>
        </w:rPr>
        <w:t>in</w:t>
      </w:r>
      <w:r w:rsidRPr="005B05D0">
        <w:rPr>
          <w:noProof/>
        </w:rPr>
        <w:t xml:space="preserve"> implement</w:t>
      </w:r>
      <w:r w:rsidR="00FE1C41">
        <w:rPr>
          <w:noProof/>
        </w:rPr>
        <w:t>ing</w:t>
      </w:r>
      <w:r w:rsidRPr="005B05D0">
        <w:rPr>
          <w:noProof/>
        </w:rPr>
        <w:t xml:space="preserve"> the Directive and its delegated acts, </w:t>
      </w:r>
      <w:r w:rsidR="00801763" w:rsidRPr="005B05D0">
        <w:rPr>
          <w:noProof/>
        </w:rPr>
        <w:t>using</w:t>
      </w:r>
      <w:r w:rsidRPr="005B05D0">
        <w:rPr>
          <w:noProof/>
        </w:rPr>
        <w:t xml:space="preserve"> a common template and common key performance indicators.</w:t>
      </w:r>
    </w:p>
    <w:p w14:paraId="52CF3ED5" w14:textId="4777B78A" w:rsidR="00C27C9C" w:rsidRPr="005B05D0" w:rsidRDefault="00FE1C41" w:rsidP="00093A0F">
      <w:pPr>
        <w:rPr>
          <w:noProof/>
        </w:rPr>
      </w:pPr>
      <w:r>
        <w:rPr>
          <w:noProof/>
        </w:rPr>
        <w:t xml:space="preserve">Using the Member State reports as a </w:t>
      </w:r>
      <w:r w:rsidR="00C27C9C" w:rsidRPr="005B05D0">
        <w:rPr>
          <w:noProof/>
        </w:rPr>
        <w:t xml:space="preserve">basis, the Commission will submit </w:t>
      </w:r>
      <w:r w:rsidR="00801763" w:rsidRPr="005B05D0">
        <w:rPr>
          <w:noProof/>
        </w:rPr>
        <w:t xml:space="preserve">every </w:t>
      </w:r>
      <w:r>
        <w:rPr>
          <w:noProof/>
        </w:rPr>
        <w:t>3</w:t>
      </w:r>
      <w:r w:rsidRPr="005B05D0">
        <w:rPr>
          <w:noProof/>
        </w:rPr>
        <w:t xml:space="preserve"> </w:t>
      </w:r>
      <w:r w:rsidR="00801763" w:rsidRPr="005B05D0">
        <w:rPr>
          <w:noProof/>
        </w:rPr>
        <w:t xml:space="preserve">years </w:t>
      </w:r>
      <w:r w:rsidR="00C27C9C" w:rsidRPr="005B05D0">
        <w:rPr>
          <w:noProof/>
        </w:rPr>
        <w:t>a report to the European Parliament and the Council on the implementation of the Directive.</w:t>
      </w:r>
    </w:p>
    <w:p w14:paraId="73AA5B1A" w14:textId="1E2DF38B" w:rsidR="00D94544" w:rsidRDefault="00D94544" w:rsidP="00D13454">
      <w:pPr>
        <w:pStyle w:val="ManualHeading2"/>
        <w:rPr>
          <w:rFonts w:eastAsia="Arial Unicode MS"/>
          <w:noProof/>
          <w:u w:color="000000"/>
          <w:bdr w:val="nil"/>
          <w:lang w:val="en-US" w:eastAsia="en-GB"/>
        </w:rPr>
      </w:pPr>
      <w:r w:rsidRPr="007718A8">
        <w:rPr>
          <w:rFonts w:eastAsia="Arial Unicode MS"/>
          <w:noProof/>
          <w:u w:color="000000"/>
          <w:bdr w:val="nil"/>
          <w:lang w:val="en-US" w:eastAsia="en-GB"/>
        </w:rPr>
        <w:t>•</w:t>
      </w:r>
      <w:r w:rsidRPr="007718A8">
        <w:rPr>
          <w:rFonts w:eastAsia="Arial Unicode MS"/>
          <w:noProof/>
          <w:u w:color="000000"/>
          <w:bdr w:val="nil"/>
          <w:lang w:val="en-US" w:eastAsia="en-GB"/>
        </w:rPr>
        <w:tab/>
        <w:t>Explanatory documents</w:t>
      </w:r>
    </w:p>
    <w:p w14:paraId="6975D999" w14:textId="44A23F54" w:rsidR="00D94544" w:rsidRPr="00882C0B" w:rsidRDefault="007A0660" w:rsidP="00093A0F">
      <w:pPr>
        <w:rPr>
          <w:noProof/>
        </w:rPr>
      </w:pPr>
      <w:r w:rsidRPr="005B05D0">
        <w:rPr>
          <w:noProof/>
        </w:rPr>
        <w:t xml:space="preserve">In compliance with recital </w:t>
      </w:r>
      <w:r w:rsidR="00675A43">
        <w:rPr>
          <w:noProof/>
        </w:rPr>
        <w:t>27</w:t>
      </w:r>
      <w:r w:rsidR="00675A43" w:rsidRPr="005B05D0">
        <w:rPr>
          <w:noProof/>
        </w:rPr>
        <w:t xml:space="preserve"> </w:t>
      </w:r>
      <w:r w:rsidR="00423A3A" w:rsidRPr="005B05D0">
        <w:rPr>
          <w:noProof/>
        </w:rPr>
        <w:t>of t</w:t>
      </w:r>
      <w:r w:rsidR="003D3839" w:rsidRPr="005B05D0">
        <w:rPr>
          <w:noProof/>
        </w:rPr>
        <w:t>he proposal</w:t>
      </w:r>
      <w:r w:rsidR="00423A3A" w:rsidRPr="005B05D0">
        <w:rPr>
          <w:noProof/>
        </w:rPr>
        <w:t xml:space="preserve">, Member States </w:t>
      </w:r>
      <w:r w:rsidR="009846EB">
        <w:rPr>
          <w:noProof/>
        </w:rPr>
        <w:t>must</w:t>
      </w:r>
      <w:r w:rsidR="009846EB" w:rsidRPr="005B05D0">
        <w:rPr>
          <w:noProof/>
        </w:rPr>
        <w:t xml:space="preserve"> </w:t>
      </w:r>
      <w:r w:rsidR="00423A3A" w:rsidRPr="005B05D0">
        <w:rPr>
          <w:noProof/>
        </w:rPr>
        <w:t>notify the Commission of their transposition measures with</w:t>
      </w:r>
      <w:r w:rsidR="003D3839" w:rsidRPr="005B05D0">
        <w:rPr>
          <w:noProof/>
        </w:rPr>
        <w:t xml:space="preserve"> </w:t>
      </w:r>
      <w:r w:rsidR="009846EB">
        <w:rPr>
          <w:noProof/>
        </w:rPr>
        <w:t>supporting</w:t>
      </w:r>
      <w:r w:rsidR="009846EB" w:rsidRPr="005B05D0">
        <w:rPr>
          <w:noProof/>
        </w:rPr>
        <w:t xml:space="preserve"> </w:t>
      </w:r>
      <w:r w:rsidR="00384F6B" w:rsidRPr="005B05D0">
        <w:rPr>
          <w:noProof/>
        </w:rPr>
        <w:t>documents</w:t>
      </w:r>
      <w:r w:rsidR="00423A3A" w:rsidRPr="005B05D0">
        <w:rPr>
          <w:noProof/>
        </w:rPr>
        <w:t xml:space="preserve">. This is necessary </w:t>
      </w:r>
      <w:r w:rsidR="009846EB">
        <w:rPr>
          <w:noProof/>
        </w:rPr>
        <w:t>because</w:t>
      </w:r>
      <w:r w:rsidR="002A4326" w:rsidRPr="005B05D0">
        <w:rPr>
          <w:noProof/>
        </w:rPr>
        <w:t xml:space="preserve"> of</w:t>
      </w:r>
      <w:r w:rsidR="00423A3A" w:rsidRPr="005B05D0">
        <w:rPr>
          <w:noProof/>
        </w:rPr>
        <w:t xml:space="preserve"> the new provisions </w:t>
      </w:r>
      <w:r w:rsidR="002A4326" w:rsidRPr="005B05D0">
        <w:rPr>
          <w:noProof/>
        </w:rPr>
        <w:t xml:space="preserve">laid down by the proposal </w:t>
      </w:r>
      <w:r w:rsidR="009846EB">
        <w:rPr>
          <w:noProof/>
        </w:rPr>
        <w:t>for</w:t>
      </w:r>
      <w:r w:rsidR="00423A3A" w:rsidRPr="005B05D0">
        <w:rPr>
          <w:noProof/>
        </w:rPr>
        <w:t xml:space="preserve"> collecti</w:t>
      </w:r>
      <w:r w:rsidR="009846EB">
        <w:rPr>
          <w:noProof/>
        </w:rPr>
        <w:t>ng</w:t>
      </w:r>
      <w:r w:rsidR="00423A3A" w:rsidRPr="005B05D0">
        <w:rPr>
          <w:noProof/>
        </w:rPr>
        <w:t xml:space="preserve"> data and deploy</w:t>
      </w:r>
      <w:r w:rsidR="009846EB">
        <w:rPr>
          <w:noProof/>
        </w:rPr>
        <w:t>ing</w:t>
      </w:r>
      <w:r w:rsidR="00423A3A" w:rsidRPr="005B05D0">
        <w:rPr>
          <w:noProof/>
        </w:rPr>
        <w:t xml:space="preserve"> services</w:t>
      </w:r>
      <w:r w:rsidR="007B5E83">
        <w:rPr>
          <w:noProof/>
        </w:rPr>
        <w:t>.</w:t>
      </w:r>
      <w:r w:rsidR="007B5E83" w:rsidRPr="005B05D0">
        <w:rPr>
          <w:noProof/>
        </w:rPr>
        <w:t xml:space="preserve"> </w:t>
      </w:r>
      <w:r w:rsidR="007B5E83">
        <w:rPr>
          <w:noProof/>
        </w:rPr>
        <w:t>These new provisions</w:t>
      </w:r>
      <w:r w:rsidR="007B5E83" w:rsidRPr="005B05D0">
        <w:rPr>
          <w:noProof/>
        </w:rPr>
        <w:t xml:space="preserve"> </w:t>
      </w:r>
      <w:r w:rsidR="00423A3A" w:rsidRPr="005B05D0">
        <w:rPr>
          <w:noProof/>
        </w:rPr>
        <w:t xml:space="preserve">may require </w:t>
      </w:r>
      <w:r w:rsidR="002A4326" w:rsidRPr="005B05D0">
        <w:rPr>
          <w:noProof/>
        </w:rPr>
        <w:t xml:space="preserve">the adoption of </w:t>
      </w:r>
      <w:r w:rsidR="00423A3A" w:rsidRPr="005B05D0">
        <w:rPr>
          <w:noProof/>
        </w:rPr>
        <w:t xml:space="preserve">additional </w:t>
      </w:r>
      <w:r w:rsidR="00481CDC" w:rsidRPr="005B05D0">
        <w:rPr>
          <w:noProof/>
        </w:rPr>
        <w:t>national legislation</w:t>
      </w:r>
      <w:r w:rsidR="002A4326" w:rsidRPr="005B05D0">
        <w:rPr>
          <w:noProof/>
        </w:rPr>
        <w:t xml:space="preserve"> </w:t>
      </w:r>
      <w:r w:rsidR="00423A3A" w:rsidRPr="005B05D0">
        <w:rPr>
          <w:noProof/>
        </w:rPr>
        <w:t xml:space="preserve">or the amendment </w:t>
      </w:r>
      <w:r w:rsidR="002A4326" w:rsidRPr="005B05D0">
        <w:rPr>
          <w:noProof/>
        </w:rPr>
        <w:t>there</w:t>
      </w:r>
      <w:r w:rsidR="00423A3A" w:rsidRPr="005B05D0">
        <w:rPr>
          <w:noProof/>
        </w:rPr>
        <w:t xml:space="preserve">of. In order for the Commission to monitor correct transposition, it is </w:t>
      </w:r>
      <w:r w:rsidR="007B5E83">
        <w:rPr>
          <w:noProof/>
        </w:rPr>
        <w:t>therefore</w:t>
      </w:r>
      <w:r w:rsidR="007B5E83" w:rsidRPr="005B05D0">
        <w:rPr>
          <w:noProof/>
        </w:rPr>
        <w:t xml:space="preserve"> </w:t>
      </w:r>
      <w:r w:rsidR="00423A3A" w:rsidRPr="005B05D0">
        <w:rPr>
          <w:noProof/>
        </w:rPr>
        <w:t xml:space="preserve">important that Member States </w:t>
      </w:r>
      <w:r w:rsidR="007B5E83">
        <w:rPr>
          <w:noProof/>
        </w:rPr>
        <w:t>send</w:t>
      </w:r>
      <w:r w:rsidR="00423A3A" w:rsidRPr="005B05D0">
        <w:rPr>
          <w:noProof/>
        </w:rPr>
        <w:t xml:space="preserve"> the Commission </w:t>
      </w:r>
      <w:r w:rsidR="007B5E83">
        <w:rPr>
          <w:noProof/>
        </w:rPr>
        <w:t>supporting</w:t>
      </w:r>
      <w:r w:rsidR="007B5E83" w:rsidRPr="005B05D0">
        <w:rPr>
          <w:noProof/>
        </w:rPr>
        <w:t xml:space="preserve"> </w:t>
      </w:r>
      <w:r w:rsidR="00423A3A" w:rsidRPr="005B05D0">
        <w:rPr>
          <w:noProof/>
        </w:rPr>
        <w:t>documents showing which existing or new provisions under national law are meant to implement the individual measures set out in the proposed Directive.</w:t>
      </w:r>
    </w:p>
    <w:p w14:paraId="6929A4D0" w14:textId="77777777" w:rsidR="00D94544" w:rsidRDefault="00D94544" w:rsidP="00D13454">
      <w:pPr>
        <w:pStyle w:val="ManualHeading2"/>
        <w:rPr>
          <w:rFonts w:eastAsia="Arial Unicode MS"/>
          <w:noProof/>
          <w:u w:color="000000"/>
          <w:bdr w:val="nil"/>
          <w:lang w:val="en-US" w:eastAsia="en-GB"/>
        </w:rPr>
      </w:pPr>
      <w:r w:rsidRPr="007718A8">
        <w:rPr>
          <w:rFonts w:eastAsia="Arial Unicode MS"/>
          <w:noProof/>
          <w:u w:color="000000"/>
          <w:bdr w:val="nil"/>
          <w:lang w:val="en-US" w:eastAsia="en-GB"/>
        </w:rPr>
        <w:t>•</w:t>
      </w:r>
      <w:r w:rsidRPr="007718A8">
        <w:rPr>
          <w:rFonts w:eastAsia="Arial Unicode MS"/>
          <w:noProof/>
          <w:u w:color="000000"/>
          <w:bdr w:val="nil"/>
          <w:lang w:val="en-US" w:eastAsia="en-GB"/>
        </w:rPr>
        <w:tab/>
        <w:t xml:space="preserve">Detailed explanation of </w:t>
      </w:r>
      <w:r>
        <w:rPr>
          <w:rFonts w:eastAsia="Arial Unicode MS"/>
          <w:noProof/>
          <w:u w:color="000000"/>
          <w:bdr w:val="nil"/>
          <w:lang w:val="en-US" w:eastAsia="en-GB"/>
        </w:rPr>
        <w:t xml:space="preserve">the </w:t>
      </w:r>
      <w:r w:rsidRPr="007718A8">
        <w:rPr>
          <w:rFonts w:eastAsia="Arial Unicode MS"/>
          <w:noProof/>
          <w:u w:color="000000"/>
          <w:bdr w:val="nil"/>
          <w:lang w:val="en-US" w:eastAsia="en-GB"/>
        </w:rPr>
        <w:t>specific provisions of the proposal</w:t>
      </w:r>
    </w:p>
    <w:p w14:paraId="07DD5E39" w14:textId="56F3884A" w:rsidR="00BB1114" w:rsidRPr="005B05D0" w:rsidRDefault="00BB1114" w:rsidP="00093A0F">
      <w:pPr>
        <w:rPr>
          <w:noProof/>
        </w:rPr>
      </w:pPr>
      <w:r w:rsidRPr="005B05D0">
        <w:rPr>
          <w:noProof/>
        </w:rPr>
        <w:t xml:space="preserve">This proposal </w:t>
      </w:r>
      <w:r w:rsidR="00534713" w:rsidRPr="005B05D0">
        <w:rPr>
          <w:noProof/>
        </w:rPr>
        <w:t xml:space="preserve">amends </w:t>
      </w:r>
      <w:r w:rsidRPr="005B05D0">
        <w:rPr>
          <w:noProof/>
        </w:rPr>
        <w:t>the current Directive 2010/40/EU on the framework for the deployment of Intelligent Transport Systems in the field of road transport and for interfaces with other modes of transport</w:t>
      </w:r>
      <w:r w:rsidR="00534713" w:rsidRPr="005B05D0">
        <w:rPr>
          <w:noProof/>
        </w:rPr>
        <w:t>, as amended by Decision (EU) 2017/2380 of the European Parliament and of the Council</w:t>
      </w:r>
      <w:r w:rsidR="00534713" w:rsidRPr="00882C0B">
        <w:rPr>
          <w:rStyle w:val="FootnoteReference"/>
          <w:rFonts w:eastAsia="Arial Unicode MS"/>
          <w:noProof/>
        </w:rPr>
        <w:footnoteReference w:id="31"/>
      </w:r>
      <w:r w:rsidRPr="005B05D0">
        <w:rPr>
          <w:noProof/>
        </w:rPr>
        <w:t xml:space="preserve">. The structure of the </w:t>
      </w:r>
      <w:r w:rsidR="00534713" w:rsidRPr="005B05D0">
        <w:rPr>
          <w:noProof/>
        </w:rPr>
        <w:t xml:space="preserve">amended ITS </w:t>
      </w:r>
      <w:r w:rsidRPr="005B05D0">
        <w:rPr>
          <w:noProof/>
        </w:rPr>
        <w:t xml:space="preserve">Directive is </w:t>
      </w:r>
      <w:r w:rsidR="007B5E83">
        <w:rPr>
          <w:noProof/>
        </w:rPr>
        <w:t>set out in the bullet points below.</w:t>
      </w:r>
      <w:r w:rsidRPr="005B05D0">
        <w:rPr>
          <w:noProof/>
        </w:rPr>
        <w:t xml:space="preserve"> </w:t>
      </w:r>
    </w:p>
    <w:p w14:paraId="3B1C4567" w14:textId="0C61CB22" w:rsidR="00BB1114" w:rsidRPr="005B05D0" w:rsidRDefault="00BB1114" w:rsidP="00AC185B">
      <w:pPr>
        <w:pStyle w:val="Tiret0"/>
        <w:numPr>
          <w:ilvl w:val="0"/>
          <w:numId w:val="7"/>
        </w:numPr>
        <w:rPr>
          <w:noProof/>
        </w:rPr>
      </w:pPr>
      <w:r w:rsidRPr="005B05D0">
        <w:rPr>
          <w:noProof/>
        </w:rPr>
        <w:t xml:space="preserve">Article 1(1) </w:t>
      </w:r>
      <w:r w:rsidR="005E4DB9" w:rsidRPr="005B05D0">
        <w:rPr>
          <w:noProof/>
        </w:rPr>
        <w:t>adapts Article 1 of the current Directive</w:t>
      </w:r>
      <w:r w:rsidR="00DB1C0F">
        <w:rPr>
          <w:noProof/>
        </w:rPr>
        <w:t>,</w:t>
      </w:r>
      <w:r w:rsidR="005E4DB9" w:rsidRPr="005B05D0">
        <w:rPr>
          <w:noProof/>
        </w:rPr>
        <w:t xml:space="preserve"> </w:t>
      </w:r>
      <w:r w:rsidR="007B5E83">
        <w:rPr>
          <w:noProof/>
        </w:rPr>
        <w:t>setting out</w:t>
      </w:r>
      <w:r w:rsidRPr="005B05D0">
        <w:rPr>
          <w:noProof/>
        </w:rPr>
        <w:t xml:space="preserve"> the subject matter and scope of the Directive </w:t>
      </w:r>
      <w:r w:rsidR="005E4DB9" w:rsidRPr="005B05D0">
        <w:rPr>
          <w:noProof/>
        </w:rPr>
        <w:t xml:space="preserve">by </w:t>
      </w:r>
      <w:r w:rsidRPr="005B05D0">
        <w:rPr>
          <w:noProof/>
        </w:rPr>
        <w:t xml:space="preserve">adding </w:t>
      </w:r>
      <w:r w:rsidR="002E76C5" w:rsidRPr="005B05D0">
        <w:rPr>
          <w:noProof/>
        </w:rPr>
        <w:t>the availability of data and deployment of services to the subject matter and scope of the current Directive.</w:t>
      </w:r>
    </w:p>
    <w:p w14:paraId="2BBC32AC" w14:textId="29E9D2B2" w:rsidR="002E76C5" w:rsidRPr="005B05D0" w:rsidRDefault="002E76C5" w:rsidP="00545C4E">
      <w:pPr>
        <w:pStyle w:val="Tiret0"/>
        <w:rPr>
          <w:noProof/>
        </w:rPr>
      </w:pPr>
      <w:r w:rsidRPr="005B05D0">
        <w:rPr>
          <w:noProof/>
        </w:rPr>
        <w:t xml:space="preserve">Article 1(2) updates </w:t>
      </w:r>
      <w:r w:rsidR="005E4DB9" w:rsidRPr="005B05D0">
        <w:rPr>
          <w:noProof/>
        </w:rPr>
        <w:t xml:space="preserve">in Article 2 of the current Directive </w:t>
      </w:r>
      <w:r w:rsidRPr="005B05D0">
        <w:rPr>
          <w:noProof/>
        </w:rPr>
        <w:t>the title of the four priority areas of the current Directive</w:t>
      </w:r>
      <w:r w:rsidR="001660F1" w:rsidRPr="005B05D0">
        <w:rPr>
          <w:noProof/>
        </w:rPr>
        <w:t>, as the priority areas are reorganised according to the types of ITS services</w:t>
      </w:r>
      <w:r w:rsidRPr="005B05D0">
        <w:rPr>
          <w:noProof/>
        </w:rPr>
        <w:t>.</w:t>
      </w:r>
    </w:p>
    <w:p w14:paraId="3E3637C8" w14:textId="1EBA7F37" w:rsidR="007603C3" w:rsidRPr="005B05D0" w:rsidRDefault="007603C3" w:rsidP="00545C4E">
      <w:pPr>
        <w:pStyle w:val="Tiret0"/>
        <w:rPr>
          <w:noProof/>
        </w:rPr>
      </w:pPr>
      <w:r w:rsidRPr="005B05D0">
        <w:rPr>
          <w:noProof/>
        </w:rPr>
        <w:t>Article 1(</w:t>
      </w:r>
      <w:r w:rsidR="002B0EF2" w:rsidRPr="005B05D0">
        <w:rPr>
          <w:noProof/>
        </w:rPr>
        <w:t>3</w:t>
      </w:r>
      <w:r w:rsidRPr="005B05D0">
        <w:rPr>
          <w:noProof/>
        </w:rPr>
        <w:t>)</w:t>
      </w:r>
      <w:r w:rsidR="00442AE5" w:rsidRPr="005B05D0">
        <w:rPr>
          <w:noProof/>
        </w:rPr>
        <w:t xml:space="preserve"> </w:t>
      </w:r>
      <w:r w:rsidR="00AC69F8" w:rsidRPr="005B05D0">
        <w:rPr>
          <w:noProof/>
        </w:rPr>
        <w:t xml:space="preserve">extends the list of definitions of the current Directive where necessary and as appropriate </w:t>
      </w:r>
      <w:r w:rsidR="007B5E83">
        <w:rPr>
          <w:noProof/>
        </w:rPr>
        <w:t>given</w:t>
      </w:r>
      <w:r w:rsidR="00AC69F8" w:rsidRPr="005B05D0">
        <w:rPr>
          <w:noProof/>
        </w:rPr>
        <w:t xml:space="preserve"> the overall changes in the scope and provisions of the </w:t>
      </w:r>
      <w:r w:rsidR="00CA1BAD" w:rsidRPr="005B05D0">
        <w:rPr>
          <w:noProof/>
        </w:rPr>
        <w:t>amended Directive.</w:t>
      </w:r>
    </w:p>
    <w:p w14:paraId="7D63BB66" w14:textId="4006BF57" w:rsidR="007603C3" w:rsidRPr="005B05D0" w:rsidRDefault="007603C3" w:rsidP="00545C4E">
      <w:pPr>
        <w:pStyle w:val="Tiret0"/>
        <w:rPr>
          <w:noProof/>
        </w:rPr>
      </w:pPr>
      <w:r w:rsidRPr="005B05D0">
        <w:rPr>
          <w:noProof/>
        </w:rPr>
        <w:t>Article 1(</w:t>
      </w:r>
      <w:r w:rsidR="002B0EF2" w:rsidRPr="005B05D0">
        <w:rPr>
          <w:noProof/>
        </w:rPr>
        <w:t>4</w:t>
      </w:r>
      <w:r w:rsidRPr="005B05D0">
        <w:rPr>
          <w:noProof/>
        </w:rPr>
        <w:t>)</w:t>
      </w:r>
      <w:r w:rsidR="00CA1BAD" w:rsidRPr="005B05D0">
        <w:rPr>
          <w:noProof/>
        </w:rPr>
        <w:t xml:space="preserve"> </w:t>
      </w:r>
      <w:r w:rsidR="001F3353" w:rsidRPr="005B05D0">
        <w:rPr>
          <w:noProof/>
        </w:rPr>
        <w:t>extends the requirements on Member States in Article 5 regarding their cooperation related to the deployment of ITS services in application of the specifications adopted under the Directive.</w:t>
      </w:r>
    </w:p>
    <w:p w14:paraId="4953309D" w14:textId="661423C9" w:rsidR="007603C3" w:rsidRPr="005B05D0" w:rsidRDefault="007603C3" w:rsidP="008A6F87">
      <w:pPr>
        <w:pStyle w:val="Tiret0"/>
        <w:rPr>
          <w:noProof/>
        </w:rPr>
      </w:pPr>
      <w:r w:rsidRPr="005B05D0">
        <w:rPr>
          <w:noProof/>
        </w:rPr>
        <w:t>Article 1(</w:t>
      </w:r>
      <w:r w:rsidR="002B0EF2" w:rsidRPr="005B05D0">
        <w:rPr>
          <w:noProof/>
        </w:rPr>
        <w:t>5</w:t>
      </w:r>
      <w:r w:rsidRPr="005B05D0">
        <w:rPr>
          <w:noProof/>
        </w:rPr>
        <w:t>)</w:t>
      </w:r>
      <w:r w:rsidR="001F3353" w:rsidRPr="005B05D0">
        <w:rPr>
          <w:noProof/>
        </w:rPr>
        <w:t xml:space="preserve"> </w:t>
      </w:r>
      <w:r w:rsidR="001F1DB7" w:rsidRPr="005B05D0">
        <w:rPr>
          <w:noProof/>
        </w:rPr>
        <w:t xml:space="preserve">updates in </w:t>
      </w:r>
      <w:r w:rsidR="001F3353" w:rsidRPr="005B05D0">
        <w:rPr>
          <w:noProof/>
        </w:rPr>
        <w:t xml:space="preserve">Article 6 </w:t>
      </w:r>
      <w:r w:rsidR="001F1DB7" w:rsidRPr="005B05D0">
        <w:rPr>
          <w:noProof/>
        </w:rPr>
        <w:t xml:space="preserve">the reference to </w:t>
      </w:r>
      <w:r w:rsidR="00BF2DA0" w:rsidRPr="005B05D0">
        <w:rPr>
          <w:noProof/>
        </w:rPr>
        <w:t>existing</w:t>
      </w:r>
      <w:r w:rsidR="001F1DB7" w:rsidRPr="005B05D0">
        <w:rPr>
          <w:noProof/>
        </w:rPr>
        <w:t xml:space="preserve"> legislation</w:t>
      </w:r>
      <w:r w:rsidR="008A6F87" w:rsidRPr="008A6F87">
        <w:rPr>
          <w:noProof/>
        </w:rPr>
        <w:t xml:space="preserve"> and completes the reference to Decision No 768/2008/EC</w:t>
      </w:r>
      <w:r w:rsidR="00064F95">
        <w:rPr>
          <w:noProof/>
        </w:rPr>
        <w:t>.</w:t>
      </w:r>
    </w:p>
    <w:p w14:paraId="4A9CAD04" w14:textId="73AF2CBB" w:rsidR="008040EA" w:rsidRPr="005B05D0" w:rsidRDefault="008040EA" w:rsidP="00FD399E">
      <w:pPr>
        <w:pStyle w:val="Tiret0"/>
        <w:rPr>
          <w:noProof/>
        </w:rPr>
      </w:pPr>
      <w:r w:rsidRPr="005B05D0">
        <w:rPr>
          <w:noProof/>
        </w:rPr>
        <w:t>Article 1(</w:t>
      </w:r>
      <w:r w:rsidR="002B0EF2" w:rsidRPr="005B05D0">
        <w:rPr>
          <w:noProof/>
        </w:rPr>
        <w:t>6</w:t>
      </w:r>
      <w:r w:rsidRPr="005B05D0">
        <w:rPr>
          <w:noProof/>
        </w:rPr>
        <w:t>)</w:t>
      </w:r>
      <w:r w:rsidR="00035E72" w:rsidRPr="005B05D0">
        <w:rPr>
          <w:noProof/>
        </w:rPr>
        <w:t xml:space="preserve"> </w:t>
      </w:r>
      <w:r w:rsidR="00016386" w:rsidRPr="005B05D0">
        <w:rPr>
          <w:noProof/>
        </w:rPr>
        <w:t xml:space="preserve">provides for a new article requiring Member States to ensure the availability of data for the data types listed in the new Annex III and their </w:t>
      </w:r>
      <w:r w:rsidR="008F011F" w:rsidRPr="005B05D0">
        <w:rPr>
          <w:noProof/>
        </w:rPr>
        <w:t>a</w:t>
      </w:r>
      <w:r w:rsidR="008F011F">
        <w:rPr>
          <w:noProof/>
        </w:rPr>
        <w:t>ccessibility</w:t>
      </w:r>
      <w:r w:rsidR="008F011F" w:rsidRPr="005B05D0">
        <w:rPr>
          <w:noProof/>
        </w:rPr>
        <w:t xml:space="preserve"> </w:t>
      </w:r>
      <w:r w:rsidR="00016386" w:rsidRPr="005B05D0">
        <w:rPr>
          <w:noProof/>
        </w:rPr>
        <w:t>on NAPs</w:t>
      </w:r>
      <w:r w:rsidR="001F1DB7" w:rsidRPr="005B05D0">
        <w:rPr>
          <w:noProof/>
        </w:rPr>
        <w:t xml:space="preserve">, and for </w:t>
      </w:r>
      <w:r w:rsidR="00016386" w:rsidRPr="005B05D0">
        <w:rPr>
          <w:noProof/>
        </w:rPr>
        <w:t>a new article</w:t>
      </w:r>
      <w:r w:rsidR="00DB596D" w:rsidRPr="005B05D0">
        <w:rPr>
          <w:noProof/>
        </w:rPr>
        <w:t xml:space="preserve"> requiring Member States to ensure the deployment of ITS services listed in the new Annex IV.</w:t>
      </w:r>
    </w:p>
    <w:p w14:paraId="26B622BE" w14:textId="7DF3FF02" w:rsidR="009571FA" w:rsidRPr="005B05D0" w:rsidRDefault="008040EA" w:rsidP="0018531A">
      <w:pPr>
        <w:pStyle w:val="Tiret0"/>
        <w:spacing w:after="0"/>
        <w:ind w:left="851" w:hanging="851"/>
        <w:rPr>
          <w:noProof/>
        </w:rPr>
      </w:pPr>
      <w:r w:rsidRPr="005B05D0">
        <w:rPr>
          <w:noProof/>
        </w:rPr>
        <w:t>Article 1(</w:t>
      </w:r>
      <w:r w:rsidR="002B0EF2" w:rsidRPr="005B05D0">
        <w:rPr>
          <w:noProof/>
        </w:rPr>
        <w:t>7</w:t>
      </w:r>
      <w:r w:rsidRPr="005B05D0">
        <w:rPr>
          <w:noProof/>
        </w:rPr>
        <w:t>)</w:t>
      </w:r>
      <w:r w:rsidR="00A5391D" w:rsidRPr="005B05D0">
        <w:rPr>
          <w:noProof/>
        </w:rPr>
        <w:t xml:space="preserve"> adds provisions to Article 7 of the current Directive for the update of Annexes III and IV through delegated acts, subject to a prior impact assessment including a cost-benefit analysis.</w:t>
      </w:r>
      <w:r w:rsidR="009571FA" w:rsidRPr="005B05D0">
        <w:rPr>
          <w:noProof/>
        </w:rPr>
        <w:t xml:space="preserve"> </w:t>
      </w:r>
    </w:p>
    <w:p w14:paraId="27858A9B" w14:textId="09CF0277" w:rsidR="008040EA" w:rsidRPr="005B05D0" w:rsidRDefault="008040EA" w:rsidP="00F071ED">
      <w:pPr>
        <w:pStyle w:val="Tiret0"/>
        <w:rPr>
          <w:noProof/>
        </w:rPr>
      </w:pPr>
      <w:r w:rsidRPr="005B05D0">
        <w:rPr>
          <w:noProof/>
        </w:rPr>
        <w:t>Article 1(</w:t>
      </w:r>
      <w:r w:rsidR="00FD5B9B" w:rsidRPr="005B05D0">
        <w:rPr>
          <w:noProof/>
        </w:rPr>
        <w:t>8</w:t>
      </w:r>
      <w:r w:rsidRPr="005B05D0">
        <w:rPr>
          <w:noProof/>
        </w:rPr>
        <w:t>)</w:t>
      </w:r>
      <w:r w:rsidR="00675E0C" w:rsidRPr="005B05D0">
        <w:rPr>
          <w:noProof/>
        </w:rPr>
        <w:t xml:space="preserve"> </w:t>
      </w:r>
      <w:r w:rsidR="00F071ED" w:rsidRPr="005B05D0">
        <w:rPr>
          <w:noProof/>
        </w:rPr>
        <w:t xml:space="preserve">provides for a new </w:t>
      </w:r>
      <w:r w:rsidR="008F011F">
        <w:rPr>
          <w:noProof/>
        </w:rPr>
        <w:t>a</w:t>
      </w:r>
      <w:r w:rsidR="00F071ED" w:rsidRPr="005B05D0">
        <w:rPr>
          <w:noProof/>
        </w:rPr>
        <w:t xml:space="preserve">rticle authorising the Commission to adopt interim measures in the event of an emergency situation </w:t>
      </w:r>
      <w:r w:rsidR="008F011F">
        <w:rPr>
          <w:noProof/>
        </w:rPr>
        <w:t>that has</w:t>
      </w:r>
      <w:r w:rsidR="00F071ED" w:rsidRPr="005B05D0">
        <w:rPr>
          <w:noProof/>
        </w:rPr>
        <w:t xml:space="preserve"> a severe direct impact on road safety, cyber security or the availability and integrity of ITS services. </w:t>
      </w:r>
    </w:p>
    <w:p w14:paraId="25E97A25" w14:textId="21619D91" w:rsidR="00220A9B" w:rsidRPr="005B05D0" w:rsidRDefault="005E4DB9" w:rsidP="00F071ED">
      <w:pPr>
        <w:pStyle w:val="Tiret0"/>
        <w:rPr>
          <w:noProof/>
        </w:rPr>
      </w:pPr>
      <w:r w:rsidRPr="005B05D0">
        <w:rPr>
          <w:noProof/>
        </w:rPr>
        <w:t>Article 1(</w:t>
      </w:r>
      <w:r w:rsidR="00FD5B9B" w:rsidRPr="005B05D0">
        <w:rPr>
          <w:noProof/>
        </w:rPr>
        <w:t>9</w:t>
      </w:r>
      <w:r w:rsidRPr="005B05D0">
        <w:rPr>
          <w:noProof/>
        </w:rPr>
        <w:t xml:space="preserve">) updates </w:t>
      </w:r>
      <w:r w:rsidR="00E75123" w:rsidRPr="005B05D0">
        <w:rPr>
          <w:noProof/>
        </w:rPr>
        <w:t>a</w:t>
      </w:r>
      <w:r w:rsidRPr="005B05D0">
        <w:rPr>
          <w:noProof/>
        </w:rPr>
        <w:t xml:space="preserve"> reference </w:t>
      </w:r>
      <w:r w:rsidR="00E75123" w:rsidRPr="005B05D0">
        <w:rPr>
          <w:noProof/>
        </w:rPr>
        <w:t>in Article 8 of the current Directive.</w:t>
      </w:r>
    </w:p>
    <w:p w14:paraId="271205E4" w14:textId="659E4B52" w:rsidR="008040EA" w:rsidRPr="005B05D0" w:rsidRDefault="008040EA" w:rsidP="002F4451">
      <w:pPr>
        <w:pStyle w:val="Tiret0"/>
        <w:rPr>
          <w:noProof/>
        </w:rPr>
      </w:pPr>
      <w:r w:rsidRPr="005B05D0">
        <w:rPr>
          <w:noProof/>
        </w:rPr>
        <w:t>Article 1(</w:t>
      </w:r>
      <w:r w:rsidR="00FD5B9B" w:rsidRPr="005B05D0">
        <w:rPr>
          <w:noProof/>
        </w:rPr>
        <w:t>10</w:t>
      </w:r>
      <w:r w:rsidRPr="005B05D0">
        <w:rPr>
          <w:noProof/>
        </w:rPr>
        <w:t>)</w:t>
      </w:r>
      <w:r w:rsidR="005F10B8" w:rsidRPr="005B05D0">
        <w:rPr>
          <w:noProof/>
        </w:rPr>
        <w:t xml:space="preserve"> replaces Article 10 of the current Directive with updated rules on </w:t>
      </w:r>
      <w:r w:rsidR="002F4451" w:rsidRPr="002F4451">
        <w:rPr>
          <w:noProof/>
        </w:rPr>
        <w:t>data protection</w:t>
      </w:r>
      <w:r w:rsidR="000C2A84">
        <w:rPr>
          <w:noProof/>
        </w:rPr>
        <w:t xml:space="preserve"> and</w:t>
      </w:r>
      <w:r w:rsidR="002F4451" w:rsidRPr="002F4451">
        <w:rPr>
          <w:noProof/>
        </w:rPr>
        <w:t xml:space="preserve"> </w:t>
      </w:r>
      <w:r w:rsidR="005F10B8" w:rsidRPr="005B05D0">
        <w:rPr>
          <w:noProof/>
        </w:rPr>
        <w:t>privacy</w:t>
      </w:r>
      <w:r w:rsidR="002F4451" w:rsidRPr="002F4451">
        <w:rPr>
          <w:noProof/>
        </w:rPr>
        <w:t>, streamlining the text by removing duplications of existing obligations under data protection rules, e.g. on the security of personal data processed and the need for controllers to comply with their other obligations under data protection rules. It also stresses the requirement for the Commission to take into account data protection requirements in the development of specifications</w:t>
      </w:r>
      <w:r w:rsidR="005F10B8" w:rsidRPr="005B05D0">
        <w:rPr>
          <w:noProof/>
        </w:rPr>
        <w:t>.</w:t>
      </w:r>
    </w:p>
    <w:p w14:paraId="79F9DD84" w14:textId="5E6771DB" w:rsidR="008040EA" w:rsidRPr="005B05D0" w:rsidRDefault="008040EA" w:rsidP="00AD06EF">
      <w:pPr>
        <w:pStyle w:val="Tiret0"/>
        <w:rPr>
          <w:noProof/>
        </w:rPr>
      </w:pPr>
      <w:r w:rsidRPr="005B05D0">
        <w:rPr>
          <w:noProof/>
        </w:rPr>
        <w:t>Article 1(1</w:t>
      </w:r>
      <w:r w:rsidR="00FD5B9B" w:rsidRPr="005B05D0">
        <w:rPr>
          <w:noProof/>
        </w:rPr>
        <w:t>1</w:t>
      </w:r>
      <w:r w:rsidR="00AD06EF" w:rsidRPr="005B05D0">
        <w:rPr>
          <w:noProof/>
        </w:rPr>
        <w:t>) provide</w:t>
      </w:r>
      <w:r w:rsidR="00FD5B9B" w:rsidRPr="005B05D0">
        <w:rPr>
          <w:noProof/>
        </w:rPr>
        <w:t>s</w:t>
      </w:r>
      <w:r w:rsidR="00AD06EF" w:rsidRPr="005B05D0">
        <w:rPr>
          <w:noProof/>
        </w:rPr>
        <w:t xml:space="preserve"> for </w:t>
      </w:r>
      <w:r w:rsidR="00951C98">
        <w:rPr>
          <w:noProof/>
        </w:rPr>
        <w:t>a</w:t>
      </w:r>
      <w:r w:rsidR="00951C98" w:rsidRPr="005B05D0">
        <w:rPr>
          <w:noProof/>
        </w:rPr>
        <w:t xml:space="preserve"> </w:t>
      </w:r>
      <w:r w:rsidR="00AD06EF" w:rsidRPr="005B05D0">
        <w:rPr>
          <w:noProof/>
        </w:rPr>
        <w:t xml:space="preserve">new </w:t>
      </w:r>
      <w:r w:rsidR="008F011F">
        <w:rPr>
          <w:noProof/>
        </w:rPr>
        <w:t>a</w:t>
      </w:r>
      <w:r w:rsidR="00AD06EF" w:rsidRPr="005B05D0">
        <w:rPr>
          <w:noProof/>
        </w:rPr>
        <w:t xml:space="preserve">rticle on the C-ITS certificate policy authority, the Trust list manager and the C-ITS point of contact, and </w:t>
      </w:r>
      <w:r w:rsidR="00951C98">
        <w:rPr>
          <w:noProof/>
        </w:rPr>
        <w:t xml:space="preserve">establishes that </w:t>
      </w:r>
      <w:r w:rsidR="00AD06EF" w:rsidRPr="005B05D0">
        <w:rPr>
          <w:noProof/>
        </w:rPr>
        <w:t xml:space="preserve">the Commission </w:t>
      </w:r>
      <w:r w:rsidR="00951C98">
        <w:rPr>
          <w:noProof/>
        </w:rPr>
        <w:t xml:space="preserve">will define and </w:t>
      </w:r>
      <w:r w:rsidR="00AD06EF" w:rsidRPr="005B05D0">
        <w:rPr>
          <w:noProof/>
        </w:rPr>
        <w:t xml:space="preserve">fulfil these roles. </w:t>
      </w:r>
    </w:p>
    <w:p w14:paraId="37C77ECE" w14:textId="55720E2D" w:rsidR="008040EA" w:rsidRPr="005B05D0" w:rsidRDefault="008040EA" w:rsidP="00FD5B9B">
      <w:pPr>
        <w:pStyle w:val="Tiret0"/>
        <w:rPr>
          <w:noProof/>
        </w:rPr>
      </w:pPr>
      <w:r w:rsidRPr="005B05D0">
        <w:rPr>
          <w:noProof/>
        </w:rPr>
        <w:t>Article 1(1</w:t>
      </w:r>
      <w:r w:rsidR="00FD5B9B" w:rsidRPr="005B05D0">
        <w:rPr>
          <w:noProof/>
        </w:rPr>
        <w:t>2</w:t>
      </w:r>
      <w:r w:rsidRPr="005B05D0">
        <w:rPr>
          <w:noProof/>
        </w:rPr>
        <w:t>)</w:t>
      </w:r>
      <w:r w:rsidR="00F45754" w:rsidRPr="005B05D0">
        <w:rPr>
          <w:noProof/>
        </w:rPr>
        <w:t xml:space="preserve"> adapts Article 12 of the current Directive </w:t>
      </w:r>
      <w:r w:rsidR="00FD5B9B" w:rsidRPr="005B05D0">
        <w:rPr>
          <w:noProof/>
        </w:rPr>
        <w:t xml:space="preserve">as regards </w:t>
      </w:r>
      <w:r w:rsidR="00F45754" w:rsidRPr="005B05D0">
        <w:rPr>
          <w:noProof/>
        </w:rPr>
        <w:t xml:space="preserve">the date </w:t>
      </w:r>
      <w:r w:rsidR="00FD5B9B" w:rsidRPr="005B05D0">
        <w:rPr>
          <w:noProof/>
        </w:rPr>
        <w:t>from which the power to adopt delegated acts is conferred on the Commission</w:t>
      </w:r>
      <w:r w:rsidR="00F45754" w:rsidRPr="005B05D0">
        <w:rPr>
          <w:noProof/>
        </w:rPr>
        <w:t>.</w:t>
      </w:r>
    </w:p>
    <w:p w14:paraId="3C47FF70" w14:textId="433040AC" w:rsidR="008040EA" w:rsidRPr="005B05D0" w:rsidRDefault="008040EA" w:rsidP="00AF1269">
      <w:pPr>
        <w:pStyle w:val="Tiret0"/>
        <w:rPr>
          <w:noProof/>
        </w:rPr>
      </w:pPr>
      <w:r w:rsidRPr="005B05D0">
        <w:rPr>
          <w:noProof/>
        </w:rPr>
        <w:t>Article 1(1</w:t>
      </w:r>
      <w:r w:rsidR="00FD5B9B" w:rsidRPr="005B05D0">
        <w:rPr>
          <w:noProof/>
        </w:rPr>
        <w:t>3</w:t>
      </w:r>
      <w:r w:rsidRPr="005B05D0">
        <w:rPr>
          <w:noProof/>
        </w:rPr>
        <w:t>)</w:t>
      </w:r>
      <w:r w:rsidR="00F45754" w:rsidRPr="005B05D0">
        <w:rPr>
          <w:noProof/>
        </w:rPr>
        <w:t xml:space="preserve"> </w:t>
      </w:r>
      <w:r w:rsidR="00AF1269" w:rsidRPr="005B05D0">
        <w:rPr>
          <w:noProof/>
        </w:rPr>
        <w:t xml:space="preserve">replaces Article 15 </w:t>
      </w:r>
      <w:r w:rsidR="00FD5B9B" w:rsidRPr="005B05D0">
        <w:rPr>
          <w:noProof/>
        </w:rPr>
        <w:t xml:space="preserve">of the current Directive </w:t>
      </w:r>
      <w:r w:rsidR="00AF1269" w:rsidRPr="005B05D0">
        <w:rPr>
          <w:noProof/>
        </w:rPr>
        <w:t>on Committee procedure with updated references to existing legislation and the addition of the reference to the examination procedure (Article</w:t>
      </w:r>
      <w:r w:rsidR="000A3E06">
        <w:rPr>
          <w:noProof/>
        </w:rPr>
        <w:t>s</w:t>
      </w:r>
      <w:r w:rsidR="00AF1269" w:rsidRPr="005B05D0">
        <w:rPr>
          <w:noProof/>
        </w:rPr>
        <w:t xml:space="preserve"> 5 </w:t>
      </w:r>
      <w:r w:rsidR="000A3E06">
        <w:rPr>
          <w:noProof/>
        </w:rPr>
        <w:t xml:space="preserve">and 8 </w:t>
      </w:r>
      <w:r w:rsidR="00AF1269" w:rsidRPr="005B05D0">
        <w:rPr>
          <w:noProof/>
        </w:rPr>
        <w:t>of Regulation (EU) No 182/2011).</w:t>
      </w:r>
    </w:p>
    <w:p w14:paraId="055261E5" w14:textId="5C37A0E1" w:rsidR="008040EA" w:rsidRPr="00ED789C" w:rsidRDefault="008040EA" w:rsidP="00545C4E">
      <w:pPr>
        <w:pStyle w:val="Tiret0"/>
        <w:rPr>
          <w:noProof/>
        </w:rPr>
      </w:pPr>
      <w:r w:rsidRPr="00ED789C">
        <w:rPr>
          <w:noProof/>
        </w:rPr>
        <w:t>Article 1(1</w:t>
      </w:r>
      <w:r w:rsidR="000A3E06" w:rsidRPr="00ED789C">
        <w:rPr>
          <w:noProof/>
        </w:rPr>
        <w:t>4</w:t>
      </w:r>
      <w:r w:rsidRPr="00ED789C">
        <w:rPr>
          <w:noProof/>
        </w:rPr>
        <w:t>)</w:t>
      </w:r>
      <w:r w:rsidR="00734442" w:rsidRPr="00ED789C">
        <w:rPr>
          <w:noProof/>
        </w:rPr>
        <w:t xml:space="preserve"> </w:t>
      </w:r>
      <w:r w:rsidR="007C4A98" w:rsidRPr="00ED789C">
        <w:rPr>
          <w:noProof/>
        </w:rPr>
        <w:t>replaces Article 17 of the current Directive</w:t>
      </w:r>
      <w:r w:rsidR="000449C8" w:rsidRPr="00ED789C">
        <w:rPr>
          <w:noProof/>
        </w:rPr>
        <w:t xml:space="preserve"> with updated rules </w:t>
      </w:r>
      <w:r w:rsidR="00523985" w:rsidRPr="00ED789C">
        <w:rPr>
          <w:noProof/>
        </w:rPr>
        <w:t xml:space="preserve">on </w:t>
      </w:r>
      <w:r w:rsidR="000449C8" w:rsidRPr="00ED789C">
        <w:rPr>
          <w:noProof/>
        </w:rPr>
        <w:t xml:space="preserve">the reporting of Member States (common template, common key performance indicators) and of the Commission, as well as </w:t>
      </w:r>
      <w:r w:rsidR="00523985" w:rsidRPr="00ED789C">
        <w:rPr>
          <w:noProof/>
        </w:rPr>
        <w:t xml:space="preserve">updated rules </w:t>
      </w:r>
      <w:r w:rsidR="000449C8" w:rsidRPr="00ED789C">
        <w:rPr>
          <w:noProof/>
        </w:rPr>
        <w:t>for the adoption of the working programmes of the ITS Directive.</w:t>
      </w:r>
    </w:p>
    <w:p w14:paraId="56435F8E" w14:textId="3E3502DE" w:rsidR="008040EA" w:rsidRPr="00ED789C" w:rsidRDefault="008040EA" w:rsidP="00545C4E">
      <w:pPr>
        <w:pStyle w:val="Tiret0"/>
        <w:rPr>
          <w:noProof/>
        </w:rPr>
      </w:pPr>
      <w:r w:rsidRPr="00ED789C">
        <w:rPr>
          <w:noProof/>
        </w:rPr>
        <w:t>Article</w:t>
      </w:r>
      <w:r w:rsidR="00ED789C" w:rsidRPr="00ED789C">
        <w:rPr>
          <w:noProof/>
        </w:rPr>
        <w:t>s</w:t>
      </w:r>
      <w:r w:rsidRPr="00ED789C">
        <w:rPr>
          <w:noProof/>
        </w:rPr>
        <w:t xml:space="preserve"> 1(</w:t>
      </w:r>
      <w:r w:rsidR="00E0151A" w:rsidRPr="00ED789C">
        <w:rPr>
          <w:noProof/>
        </w:rPr>
        <w:t>1</w:t>
      </w:r>
      <w:r w:rsidR="001D4C6F" w:rsidRPr="00ED789C">
        <w:rPr>
          <w:noProof/>
        </w:rPr>
        <w:t>5</w:t>
      </w:r>
      <w:r w:rsidRPr="00ED789C">
        <w:rPr>
          <w:noProof/>
        </w:rPr>
        <w:t>)</w:t>
      </w:r>
      <w:r w:rsidR="00294505" w:rsidRPr="00ED789C">
        <w:rPr>
          <w:noProof/>
        </w:rPr>
        <w:t xml:space="preserve"> </w:t>
      </w:r>
      <w:r w:rsidR="00ED789C" w:rsidRPr="00ED789C">
        <w:rPr>
          <w:noProof/>
        </w:rPr>
        <w:t xml:space="preserve">and 1(16) </w:t>
      </w:r>
      <w:r w:rsidR="00294505" w:rsidRPr="00ED789C">
        <w:rPr>
          <w:noProof/>
        </w:rPr>
        <w:t>replace</w:t>
      </w:r>
      <w:r w:rsidR="00A664A2">
        <w:rPr>
          <w:noProof/>
        </w:rPr>
        <w:t xml:space="preserve"> </w:t>
      </w:r>
      <w:r w:rsidR="00294505" w:rsidRPr="00ED789C">
        <w:rPr>
          <w:noProof/>
        </w:rPr>
        <w:t>the two annexes of the current Directive by four annexes:</w:t>
      </w:r>
    </w:p>
    <w:p w14:paraId="769F77D8" w14:textId="12BBD9FD" w:rsidR="00294505" w:rsidRPr="00ED789C" w:rsidRDefault="00294505" w:rsidP="00AC185B">
      <w:pPr>
        <w:pStyle w:val="Tiret1"/>
        <w:numPr>
          <w:ilvl w:val="0"/>
          <w:numId w:val="8"/>
        </w:numPr>
        <w:rPr>
          <w:noProof/>
        </w:rPr>
      </w:pPr>
      <w:r w:rsidRPr="00ED789C">
        <w:rPr>
          <w:noProof/>
        </w:rPr>
        <w:t xml:space="preserve">Annex I adapts Annex I of the current Directive by organising the priority areas according to the types of ITS services, and also </w:t>
      </w:r>
      <w:r w:rsidR="00523985" w:rsidRPr="00ED789C">
        <w:rPr>
          <w:noProof/>
        </w:rPr>
        <w:t xml:space="preserve">adds </w:t>
      </w:r>
      <w:r w:rsidRPr="00ED789C">
        <w:rPr>
          <w:noProof/>
        </w:rPr>
        <w:t>new actions corresponding to new and emerging ITS services</w:t>
      </w:r>
      <w:r w:rsidR="00E0151A" w:rsidRPr="00ED789C">
        <w:rPr>
          <w:noProof/>
        </w:rPr>
        <w:t>;</w:t>
      </w:r>
    </w:p>
    <w:p w14:paraId="77491FE3" w14:textId="1C85FBA9" w:rsidR="00294505" w:rsidRPr="00ED789C" w:rsidRDefault="00294505" w:rsidP="00545C4E">
      <w:pPr>
        <w:pStyle w:val="Tiret1"/>
        <w:rPr>
          <w:noProof/>
        </w:rPr>
      </w:pPr>
      <w:r w:rsidRPr="00ED789C">
        <w:rPr>
          <w:noProof/>
        </w:rPr>
        <w:t>Annex II adapts Annex II of the current ITS Directive by updating and adding some of the principles</w:t>
      </w:r>
      <w:r w:rsidR="00E0151A" w:rsidRPr="00ED789C">
        <w:rPr>
          <w:noProof/>
        </w:rPr>
        <w:t>;</w:t>
      </w:r>
    </w:p>
    <w:p w14:paraId="214A1A34" w14:textId="4BA6827F" w:rsidR="00294505" w:rsidRPr="00ED789C" w:rsidRDefault="00523985" w:rsidP="00545C4E">
      <w:pPr>
        <w:pStyle w:val="Tiret1"/>
        <w:rPr>
          <w:noProof/>
        </w:rPr>
      </w:pPr>
      <w:r w:rsidRPr="00ED789C">
        <w:rPr>
          <w:noProof/>
        </w:rPr>
        <w:t>t</w:t>
      </w:r>
      <w:r w:rsidR="00294505" w:rsidRPr="00ED789C">
        <w:rPr>
          <w:noProof/>
        </w:rPr>
        <w:t xml:space="preserve">he new Annex III lists the </w:t>
      </w:r>
      <w:r w:rsidR="00B6779E" w:rsidRPr="00ED789C">
        <w:rPr>
          <w:noProof/>
        </w:rPr>
        <w:t xml:space="preserve">data types for which availability and accessibility on NAPs needs to be ensured by the date </w:t>
      </w:r>
      <w:r w:rsidR="007D6421">
        <w:rPr>
          <w:noProof/>
        </w:rPr>
        <w:t xml:space="preserve">indicated </w:t>
      </w:r>
      <w:r w:rsidRPr="00ED789C">
        <w:rPr>
          <w:noProof/>
        </w:rPr>
        <w:t xml:space="preserve">for each data type </w:t>
      </w:r>
      <w:r w:rsidR="00B6779E" w:rsidRPr="00ED789C">
        <w:rPr>
          <w:noProof/>
        </w:rPr>
        <w:t>and on the geographical coverage indicated for each data type</w:t>
      </w:r>
      <w:r w:rsidR="00E0151A" w:rsidRPr="00ED789C">
        <w:rPr>
          <w:noProof/>
        </w:rPr>
        <w:t>;</w:t>
      </w:r>
    </w:p>
    <w:p w14:paraId="14F4A1BA" w14:textId="4DE915D5" w:rsidR="00294505" w:rsidRPr="00ED789C" w:rsidRDefault="00523985" w:rsidP="00545C4E">
      <w:pPr>
        <w:pStyle w:val="Tiret1"/>
        <w:rPr>
          <w:noProof/>
        </w:rPr>
      </w:pPr>
      <w:r w:rsidRPr="00ED789C">
        <w:rPr>
          <w:noProof/>
        </w:rPr>
        <w:t>t</w:t>
      </w:r>
      <w:r w:rsidR="00294505" w:rsidRPr="00ED789C">
        <w:rPr>
          <w:noProof/>
        </w:rPr>
        <w:t xml:space="preserve">he new Annex IV lists the ITS services to be deployed by the date </w:t>
      </w:r>
      <w:r w:rsidRPr="00ED789C">
        <w:rPr>
          <w:noProof/>
        </w:rPr>
        <w:t xml:space="preserve">indicated for each ITS service </w:t>
      </w:r>
      <w:r w:rsidR="00294505" w:rsidRPr="00ED789C">
        <w:rPr>
          <w:noProof/>
        </w:rPr>
        <w:t>and on the geographical coverage indicated for each ITS service.</w:t>
      </w:r>
    </w:p>
    <w:p w14:paraId="0BBD3E18" w14:textId="40CE7F58" w:rsidR="007C4A98" w:rsidRPr="00433D87" w:rsidRDefault="007C4A98" w:rsidP="007C4A98">
      <w:pPr>
        <w:pStyle w:val="Tiret0"/>
        <w:rPr>
          <w:noProof/>
        </w:rPr>
      </w:pPr>
      <w:r w:rsidRPr="00433D87">
        <w:rPr>
          <w:noProof/>
        </w:rPr>
        <w:t>Article</w:t>
      </w:r>
      <w:r w:rsidR="008F02FA" w:rsidRPr="00433D87">
        <w:rPr>
          <w:noProof/>
        </w:rPr>
        <w:t>s</w:t>
      </w:r>
      <w:r w:rsidRPr="00433D87">
        <w:rPr>
          <w:noProof/>
        </w:rPr>
        <w:t xml:space="preserve"> 2</w:t>
      </w:r>
      <w:r w:rsidR="008F02FA" w:rsidRPr="00433D87">
        <w:rPr>
          <w:noProof/>
        </w:rPr>
        <w:t>, 3 and 4 provide for the transposition, entry into force and addressees of the amended Directive.</w:t>
      </w:r>
    </w:p>
    <w:p w14:paraId="5498C07E" w14:textId="77777777" w:rsidR="00E6363A" w:rsidRDefault="00E6363A" w:rsidP="00E6363A">
      <w:pPr>
        <w:pStyle w:val="ManualHeading2"/>
        <w:rPr>
          <w:rFonts w:eastAsia="Arial Unicode MS"/>
          <w:noProof/>
          <w:u w:color="000000"/>
          <w:bdr w:val="nil"/>
          <w:lang w:val="en-US" w:eastAsia="en-GB"/>
        </w:rPr>
      </w:pPr>
      <w:r w:rsidRPr="007718A8">
        <w:rPr>
          <w:rFonts w:eastAsia="Arial Unicode MS"/>
          <w:noProof/>
          <w:u w:color="000000"/>
          <w:bdr w:val="nil"/>
          <w:lang w:val="en-US" w:eastAsia="en-GB"/>
        </w:rPr>
        <w:t>•</w:t>
      </w:r>
      <w:r w:rsidRPr="007718A8">
        <w:rPr>
          <w:rFonts w:eastAsia="Arial Unicode MS"/>
          <w:noProof/>
          <w:u w:color="000000"/>
          <w:bdr w:val="nil"/>
          <w:lang w:val="en-US" w:eastAsia="en-GB"/>
        </w:rPr>
        <w:tab/>
      </w:r>
      <w:r w:rsidRPr="00E6363A">
        <w:rPr>
          <w:rFonts w:eastAsia="Arial Unicode MS"/>
          <w:noProof/>
          <w:u w:color="000000"/>
          <w:bdr w:val="nil"/>
          <w:lang w:val="en-US" w:eastAsia="en-GB"/>
        </w:rPr>
        <w:t>European Economic Area</w:t>
      </w:r>
    </w:p>
    <w:p w14:paraId="031D9012" w14:textId="77777777" w:rsidR="00E6363A" w:rsidRPr="00433D87" w:rsidRDefault="00E6363A" w:rsidP="00093A0F">
      <w:pPr>
        <w:rPr>
          <w:noProof/>
        </w:rPr>
      </w:pPr>
      <w:r w:rsidRPr="00433D87">
        <w:rPr>
          <w:noProof/>
        </w:rPr>
        <w:t>The proposed act is of EEA relevance.</w:t>
      </w:r>
    </w:p>
    <w:p w14:paraId="202CC467" w14:textId="77777777" w:rsidR="00E6363A" w:rsidRPr="007A5904" w:rsidRDefault="00E6363A" w:rsidP="00D13454">
      <w:pPr>
        <w:pBdr>
          <w:top w:val="nil"/>
          <w:left w:val="nil"/>
          <w:bottom w:val="nil"/>
          <w:right w:val="nil"/>
          <w:between w:val="nil"/>
          <w:bar w:val="nil"/>
        </w:pBdr>
        <w:spacing w:before="0" w:after="240"/>
      </w:pPr>
    </w:p>
    <w:p w14:paraId="7077704B" w14:textId="77777777" w:rsidR="00D94544" w:rsidRDefault="00D94544" w:rsidP="00D13454">
      <w:pPr>
        <w:spacing w:before="0" w:after="0"/>
        <w:jc w:val="left"/>
        <w:rPr>
          <w:noProof/>
        </w:rPr>
      </w:pPr>
    </w:p>
    <w:p w14:paraId="311BEC07" w14:textId="77777777" w:rsidR="009B7769" w:rsidRPr="00AC7E92" w:rsidRDefault="009B7769" w:rsidP="00D13454">
      <w:pPr>
        <w:spacing w:before="0" w:after="0"/>
        <w:jc w:val="left"/>
        <w:rPr>
          <w:noProof/>
        </w:rPr>
        <w:sectPr w:rsidR="009B7769" w:rsidRPr="00AC7E92" w:rsidSect="0045537D">
          <w:footerReference w:type="default" r:id="rId25"/>
          <w:footerReference w:type="first" r:id="rId26"/>
          <w:pgSz w:w="11907" w:h="16839"/>
          <w:pgMar w:top="1134" w:right="1417" w:bottom="1134" w:left="1417" w:header="709" w:footer="709" w:gutter="0"/>
          <w:cols w:space="708"/>
          <w:docGrid w:linePitch="360"/>
        </w:sectPr>
      </w:pPr>
    </w:p>
    <w:p w14:paraId="173A88E9" w14:textId="44A9930D" w:rsidR="00D94544" w:rsidRDefault="0090048C" w:rsidP="0090048C">
      <w:pPr>
        <w:pStyle w:val="Rfrenceinterinstitutionnelle"/>
        <w:rPr>
          <w:noProof/>
        </w:rPr>
      </w:pPr>
      <w:r w:rsidRPr="0090048C">
        <w:t>2021/0419 (COD)</w:t>
      </w:r>
    </w:p>
    <w:p w14:paraId="3BA3073F" w14:textId="516186B6" w:rsidR="00D94544" w:rsidRPr="00AC7E92" w:rsidRDefault="003441B8" w:rsidP="003441B8">
      <w:pPr>
        <w:pStyle w:val="Statut"/>
        <w:rPr>
          <w:noProof/>
        </w:rPr>
      </w:pPr>
      <w:r w:rsidRPr="003441B8">
        <w:rPr>
          <w:noProof/>
        </w:rPr>
        <w:t>Proposal for a</w:t>
      </w:r>
    </w:p>
    <w:p w14:paraId="7859C2FE" w14:textId="506B58CF" w:rsidR="00D94544" w:rsidRPr="00AC7E92" w:rsidRDefault="003441B8" w:rsidP="003441B8">
      <w:pPr>
        <w:pStyle w:val="Typedudocument"/>
        <w:rPr>
          <w:noProof/>
        </w:rPr>
      </w:pPr>
      <w:r w:rsidRPr="003441B8">
        <w:rPr>
          <w:noProof/>
        </w:rPr>
        <w:t>DIRECTIVE OF THE EUROPEAN PARLIAMENT AND OF THE COUNCIL</w:t>
      </w:r>
    </w:p>
    <w:p w14:paraId="269A7293" w14:textId="0997A977" w:rsidR="00D94544" w:rsidRPr="00BC7656" w:rsidRDefault="003441B8" w:rsidP="003441B8">
      <w:pPr>
        <w:pStyle w:val="Titreobjet"/>
        <w:rPr>
          <w:noProof/>
        </w:rPr>
      </w:pPr>
      <w:r w:rsidRPr="003441B8">
        <w:rPr>
          <w:noProof/>
        </w:rPr>
        <w:t>amending Directive 2010/40/EU on the framework for the deployment of Intelligent Transport Systems in the field of road transport and for interfaces with other modes of transport</w:t>
      </w:r>
    </w:p>
    <w:p w14:paraId="0E2A4540" w14:textId="12202342" w:rsidR="00D94544" w:rsidRPr="00D94544" w:rsidRDefault="003441B8" w:rsidP="003441B8">
      <w:pPr>
        <w:pStyle w:val="IntrtEEE"/>
        <w:rPr>
          <w:noProof/>
        </w:rPr>
      </w:pPr>
      <w:r w:rsidRPr="003441B8">
        <w:rPr>
          <w:noProof/>
        </w:rPr>
        <w:t>(Text with EEA relevance)</w:t>
      </w:r>
    </w:p>
    <w:p w14:paraId="06AF658C" w14:textId="77777777" w:rsidR="00D94544" w:rsidRPr="00AC7E92" w:rsidRDefault="00D94544" w:rsidP="00D13454">
      <w:pPr>
        <w:pStyle w:val="Institutionquiagit"/>
        <w:rPr>
          <w:noProof/>
        </w:rPr>
      </w:pPr>
      <w:r w:rsidRPr="00AC7E92">
        <w:rPr>
          <w:noProof/>
        </w:rPr>
        <w:t>THE EUROPEAN PARLIAMENT AND THE COUNCIL OF THE EUROPEAN UNION,</w:t>
      </w:r>
    </w:p>
    <w:p w14:paraId="11D74F4E" w14:textId="77777777" w:rsidR="00D94544" w:rsidRPr="00AC7E92" w:rsidRDefault="00D94544" w:rsidP="00D13454">
      <w:pPr>
        <w:rPr>
          <w:noProof/>
        </w:rPr>
      </w:pPr>
      <w:r w:rsidRPr="00AC7E92">
        <w:rPr>
          <w:noProof/>
        </w:rPr>
        <w:t>Having regard to the Treaty on the Functioning of the European Union, and in particular Article</w:t>
      </w:r>
      <w:r>
        <w:rPr>
          <w:noProof/>
        </w:rPr>
        <w:t> </w:t>
      </w:r>
      <w:r w:rsidR="000D637A" w:rsidRPr="00200B73">
        <w:rPr>
          <w:noProof/>
        </w:rPr>
        <w:t>91</w:t>
      </w:r>
      <w:r w:rsidRPr="00AC7E92">
        <w:rPr>
          <w:noProof/>
        </w:rPr>
        <w:t xml:space="preserve"> thereof,</w:t>
      </w:r>
    </w:p>
    <w:p w14:paraId="0C0A1398" w14:textId="77777777" w:rsidR="00D94544" w:rsidRPr="00AC7E92" w:rsidRDefault="00D94544" w:rsidP="00D13454">
      <w:pPr>
        <w:rPr>
          <w:noProof/>
        </w:rPr>
      </w:pPr>
      <w:r w:rsidRPr="00AC7E92">
        <w:rPr>
          <w:noProof/>
        </w:rPr>
        <w:t>Having regard to the proposal from the European Commission,</w:t>
      </w:r>
    </w:p>
    <w:p w14:paraId="799E60CB" w14:textId="77777777" w:rsidR="00D94544" w:rsidRPr="00AC7E92" w:rsidRDefault="00D94544" w:rsidP="00D13454">
      <w:pPr>
        <w:rPr>
          <w:noProof/>
        </w:rPr>
      </w:pPr>
      <w:r w:rsidRPr="00AC7E92">
        <w:rPr>
          <w:noProof/>
        </w:rPr>
        <w:t xml:space="preserve">After transmission of the draft legislative act to the national </w:t>
      </w:r>
      <w:r>
        <w:rPr>
          <w:noProof/>
        </w:rPr>
        <w:t>p</w:t>
      </w:r>
      <w:r w:rsidRPr="00AC7E92">
        <w:rPr>
          <w:noProof/>
        </w:rPr>
        <w:t>arliaments,</w:t>
      </w:r>
    </w:p>
    <w:p w14:paraId="4BF43CE3" w14:textId="77777777" w:rsidR="00D94544" w:rsidRPr="00AC7E92" w:rsidRDefault="00D94544" w:rsidP="00D13454">
      <w:pPr>
        <w:rPr>
          <w:noProof/>
        </w:rPr>
      </w:pPr>
      <w:r w:rsidRPr="00AC7E92">
        <w:rPr>
          <w:noProof/>
        </w:rPr>
        <w:t>Having regard to the opinion of the European Economic and Social Committee</w:t>
      </w:r>
      <w:r w:rsidRPr="00AC7E92">
        <w:rPr>
          <w:rStyle w:val="FootnoteReference"/>
          <w:noProof/>
        </w:rPr>
        <w:footnoteReference w:id="32"/>
      </w:r>
      <w:r w:rsidR="00EB2204">
        <w:rPr>
          <w:noProof/>
        </w:rPr>
        <w:t>,</w:t>
      </w:r>
    </w:p>
    <w:p w14:paraId="73D0B517" w14:textId="77777777" w:rsidR="00D94544" w:rsidRPr="00AC7E92" w:rsidRDefault="00D94544" w:rsidP="00D13454">
      <w:pPr>
        <w:rPr>
          <w:noProof/>
        </w:rPr>
      </w:pPr>
      <w:r w:rsidRPr="00AC7E92">
        <w:rPr>
          <w:noProof/>
        </w:rPr>
        <w:t>Having regard to the opinion of the Committee of the Regions</w:t>
      </w:r>
      <w:r w:rsidRPr="00AC7E92">
        <w:rPr>
          <w:rStyle w:val="FootnoteReference"/>
          <w:noProof/>
        </w:rPr>
        <w:footnoteReference w:id="33"/>
      </w:r>
      <w:r w:rsidR="00EB2204">
        <w:rPr>
          <w:noProof/>
        </w:rPr>
        <w:t>,</w:t>
      </w:r>
    </w:p>
    <w:p w14:paraId="28C03163" w14:textId="77777777" w:rsidR="00D94544" w:rsidRPr="00AC7E92" w:rsidRDefault="00D94544" w:rsidP="00D13454">
      <w:pPr>
        <w:rPr>
          <w:noProof/>
        </w:rPr>
      </w:pPr>
      <w:r w:rsidRPr="00AC7E92">
        <w:rPr>
          <w:noProof/>
        </w:rPr>
        <w:t>Acting in accordance with the ordinary legislative procedure,</w:t>
      </w:r>
    </w:p>
    <w:p w14:paraId="70336A85" w14:textId="77777777" w:rsidR="00D94544" w:rsidRPr="00AC7E92" w:rsidRDefault="00D94544" w:rsidP="00D13454">
      <w:pPr>
        <w:rPr>
          <w:noProof/>
        </w:rPr>
      </w:pPr>
      <w:r w:rsidRPr="00AC7E92">
        <w:rPr>
          <w:noProof/>
        </w:rPr>
        <w:t>Whereas:</w:t>
      </w:r>
    </w:p>
    <w:p w14:paraId="7F8A5C0F" w14:textId="4842B077" w:rsidR="00D94544" w:rsidRPr="001064C3" w:rsidRDefault="00E01660" w:rsidP="00E01660">
      <w:pPr>
        <w:pStyle w:val="ManualConsidrant"/>
        <w:rPr>
          <w:noProof/>
        </w:rPr>
      </w:pPr>
      <w:r w:rsidRPr="00E01660">
        <w:t>(1)</w:t>
      </w:r>
      <w:r w:rsidRPr="00E01660">
        <w:tab/>
      </w:r>
      <w:r w:rsidR="00C2209A" w:rsidRPr="00B6552B">
        <w:rPr>
          <w:noProof/>
        </w:rPr>
        <w:t xml:space="preserve">The Commission’s </w:t>
      </w:r>
      <w:r w:rsidR="00C2209A" w:rsidRPr="003D1CDF">
        <w:rPr>
          <w:i/>
          <w:noProof/>
        </w:rPr>
        <w:t>Communication on a Sustainable and Smart Mobility Strategy</w:t>
      </w:r>
      <w:r w:rsidR="00C2209A" w:rsidRPr="001064C3">
        <w:rPr>
          <w:rStyle w:val="FootnoteReference"/>
          <w:noProof/>
        </w:rPr>
        <w:footnoteReference w:id="34"/>
      </w:r>
      <w:r w:rsidR="00C2209A" w:rsidRPr="003241F7">
        <w:rPr>
          <w:noProof/>
        </w:rPr>
        <w:t xml:space="preserve"> identifies the deployment of Intelligent Transport Systems (</w:t>
      </w:r>
      <w:r w:rsidR="0059556D">
        <w:rPr>
          <w:noProof/>
          <w:lang w:val="mt-MT"/>
        </w:rPr>
        <w:t>‘</w:t>
      </w:r>
      <w:r w:rsidR="00C2209A" w:rsidRPr="003241F7">
        <w:rPr>
          <w:noProof/>
        </w:rPr>
        <w:t>ITS</w:t>
      </w:r>
      <w:r w:rsidR="0059556D">
        <w:rPr>
          <w:noProof/>
          <w:lang w:val="mt-MT"/>
        </w:rPr>
        <w:t>’</w:t>
      </w:r>
      <w:r w:rsidR="00C2209A" w:rsidRPr="003241F7">
        <w:rPr>
          <w:noProof/>
        </w:rPr>
        <w:t xml:space="preserve">) as a key action in achieving connected and automated multimodal mobility, and therefore contributing to the transformation of the European transport system to </w:t>
      </w:r>
      <w:r w:rsidR="00E0151A" w:rsidRPr="003241F7">
        <w:rPr>
          <w:noProof/>
        </w:rPr>
        <w:t xml:space="preserve">reach </w:t>
      </w:r>
      <w:r w:rsidR="00C2209A" w:rsidRPr="003241F7">
        <w:rPr>
          <w:noProof/>
        </w:rPr>
        <w:t xml:space="preserve">the objective of </w:t>
      </w:r>
      <w:r w:rsidR="00BA63BF">
        <w:rPr>
          <w:noProof/>
        </w:rPr>
        <w:t>efficient,</w:t>
      </w:r>
      <w:r w:rsidR="00BA63BF" w:rsidRPr="003241F7">
        <w:rPr>
          <w:noProof/>
        </w:rPr>
        <w:t xml:space="preserve"> </w:t>
      </w:r>
      <w:r w:rsidR="00C2209A" w:rsidRPr="003241F7">
        <w:rPr>
          <w:noProof/>
        </w:rPr>
        <w:t>safe, sustainable, smart and resilient mobility</w:t>
      </w:r>
      <w:r w:rsidR="00D94544" w:rsidRPr="001064C3">
        <w:rPr>
          <w:noProof/>
        </w:rPr>
        <w:t>.</w:t>
      </w:r>
      <w:r w:rsidR="0091313B">
        <w:rPr>
          <w:noProof/>
        </w:rPr>
        <w:t xml:space="preserve"> </w:t>
      </w:r>
      <w:r w:rsidR="00C64160">
        <w:rPr>
          <w:noProof/>
        </w:rPr>
        <w:t xml:space="preserve">This complements </w:t>
      </w:r>
      <w:r w:rsidR="00DA7DFC">
        <w:rPr>
          <w:noProof/>
        </w:rPr>
        <w:t xml:space="preserve">the actions announced under the flagship on greening of freight transport to foster multimodal logistics. </w:t>
      </w:r>
      <w:r w:rsidR="0091313B" w:rsidRPr="0091313B">
        <w:rPr>
          <w:noProof/>
        </w:rPr>
        <w:t>The strategy also announced for 2022 a revision of the Delegated Regulation (EU) 2017/1926 on multimodal travel information services to include mandatory accessibility of dynamic datasets, as well as an assessment of the need for regulatory action on rights and duties of multimodal digital service providers together with an initiative on ticketing, including rail ticketing.</w:t>
      </w:r>
      <w:r w:rsidR="00B55396">
        <w:rPr>
          <w:noProof/>
        </w:rPr>
        <w:t xml:space="preserve"> </w:t>
      </w:r>
    </w:p>
    <w:p w14:paraId="79FAB371" w14:textId="72552A3F" w:rsidR="00D94544" w:rsidRPr="001064C3" w:rsidRDefault="00E01660" w:rsidP="00E01660">
      <w:pPr>
        <w:pStyle w:val="ManualConsidrant"/>
        <w:rPr>
          <w:noProof/>
        </w:rPr>
      </w:pPr>
      <w:r w:rsidRPr="00E01660">
        <w:t>(2)</w:t>
      </w:r>
      <w:r w:rsidRPr="00E01660">
        <w:tab/>
      </w:r>
      <w:r w:rsidR="00502A91" w:rsidRPr="003241F7">
        <w:rPr>
          <w:noProof/>
        </w:rPr>
        <w:t xml:space="preserve">The </w:t>
      </w:r>
      <w:r w:rsidR="002143F6" w:rsidRPr="00B6552B">
        <w:rPr>
          <w:noProof/>
        </w:rPr>
        <w:t xml:space="preserve">Sustainable and Smart Mobility </w:t>
      </w:r>
      <w:r w:rsidR="00502A91" w:rsidRPr="003241F7">
        <w:rPr>
          <w:noProof/>
        </w:rPr>
        <w:t xml:space="preserve">Strategy confirms the objective </w:t>
      </w:r>
      <w:r w:rsidR="004206A4" w:rsidRPr="003241F7">
        <w:rPr>
          <w:noProof/>
        </w:rPr>
        <w:t>to bring the</w:t>
      </w:r>
      <w:r w:rsidR="00502A91" w:rsidRPr="003241F7">
        <w:rPr>
          <w:noProof/>
        </w:rPr>
        <w:t xml:space="preserve"> death toll for all modes of transport in the U</w:t>
      </w:r>
      <w:r w:rsidR="002143F6">
        <w:rPr>
          <w:noProof/>
        </w:rPr>
        <w:t>nion</w:t>
      </w:r>
      <w:r w:rsidR="00502A91" w:rsidRPr="003241F7">
        <w:rPr>
          <w:noProof/>
        </w:rPr>
        <w:t xml:space="preserve"> close to zero by 2050. Several actions in the scope of Directive </w:t>
      </w:r>
      <w:r w:rsidR="002143F6" w:rsidRPr="001C21FA">
        <w:rPr>
          <w:noProof/>
        </w:rPr>
        <w:t xml:space="preserve">2010/40/EU </w:t>
      </w:r>
      <w:r w:rsidR="002143F6">
        <w:rPr>
          <w:noProof/>
        </w:rPr>
        <w:t>of the European Parliament and of the Council</w:t>
      </w:r>
      <w:r w:rsidR="002143F6">
        <w:rPr>
          <w:rStyle w:val="FootnoteReference"/>
          <w:noProof/>
        </w:rPr>
        <w:footnoteReference w:id="35"/>
      </w:r>
      <w:r w:rsidR="002143F6" w:rsidRPr="003241F7">
        <w:rPr>
          <w:noProof/>
        </w:rPr>
        <w:t xml:space="preserve"> </w:t>
      </w:r>
      <w:r w:rsidR="00502A91" w:rsidRPr="003241F7">
        <w:rPr>
          <w:noProof/>
        </w:rPr>
        <w:t>contribute to the safety of road users</w:t>
      </w:r>
      <w:r w:rsidR="00E0151A" w:rsidRPr="003241F7">
        <w:rPr>
          <w:noProof/>
        </w:rPr>
        <w:t>, such as eCall</w:t>
      </w:r>
      <w:r w:rsidR="005D3258" w:rsidRPr="003241F7">
        <w:rPr>
          <w:noProof/>
        </w:rPr>
        <w:t>,</w:t>
      </w:r>
      <w:r w:rsidR="00E0151A" w:rsidRPr="003241F7">
        <w:rPr>
          <w:noProof/>
        </w:rPr>
        <w:t xml:space="preserve"> road safety-related traffic information services</w:t>
      </w:r>
      <w:r w:rsidR="005D3258" w:rsidRPr="003241F7">
        <w:rPr>
          <w:noProof/>
        </w:rPr>
        <w:t xml:space="preserve"> and safe and secure parking areas</w:t>
      </w:r>
      <w:r w:rsidR="005D3258" w:rsidRPr="001064C3">
        <w:rPr>
          <w:rStyle w:val="FootnoteReference"/>
          <w:noProof/>
        </w:rPr>
        <w:footnoteReference w:id="36"/>
      </w:r>
      <w:r w:rsidR="00D94544" w:rsidRPr="001064C3">
        <w:rPr>
          <w:noProof/>
        </w:rPr>
        <w:t>.</w:t>
      </w:r>
    </w:p>
    <w:p w14:paraId="21C2E9F8" w14:textId="57083E91" w:rsidR="00180DD3" w:rsidRPr="003241F7" w:rsidRDefault="00E01660" w:rsidP="00E01660">
      <w:pPr>
        <w:pStyle w:val="ManualConsidrant"/>
        <w:rPr>
          <w:noProof/>
        </w:rPr>
      </w:pPr>
      <w:r w:rsidRPr="00E01660">
        <w:t>(3)</w:t>
      </w:r>
      <w:r w:rsidRPr="00E01660">
        <w:tab/>
      </w:r>
      <w:r w:rsidR="00502A91" w:rsidRPr="003241F7">
        <w:rPr>
          <w:noProof/>
        </w:rPr>
        <w:t>The European Green Deal</w:t>
      </w:r>
      <w:r w:rsidR="002143F6">
        <w:rPr>
          <w:rStyle w:val="FootnoteReference"/>
          <w:noProof/>
        </w:rPr>
        <w:footnoteReference w:id="37"/>
      </w:r>
      <w:r w:rsidR="00502A91" w:rsidRPr="003241F7">
        <w:rPr>
          <w:noProof/>
        </w:rPr>
        <w:t xml:space="preserve"> highlights the increasing role of automated and connected multimodal mobility, together with smart traffic management systems enabled by digitalisation, and the objective </w:t>
      </w:r>
      <w:r w:rsidR="00F21BBF">
        <w:rPr>
          <w:noProof/>
        </w:rPr>
        <w:t>of</w:t>
      </w:r>
      <w:r w:rsidR="00F21BBF" w:rsidRPr="003241F7">
        <w:rPr>
          <w:noProof/>
        </w:rPr>
        <w:t xml:space="preserve"> </w:t>
      </w:r>
      <w:r w:rsidR="00502A91" w:rsidRPr="003241F7">
        <w:rPr>
          <w:noProof/>
        </w:rPr>
        <w:t>support</w:t>
      </w:r>
      <w:r w:rsidR="00F21BBF">
        <w:rPr>
          <w:noProof/>
        </w:rPr>
        <w:t>ing</w:t>
      </w:r>
      <w:r w:rsidR="00502A91" w:rsidRPr="003241F7">
        <w:rPr>
          <w:noProof/>
        </w:rPr>
        <w:t xml:space="preserve"> new sustainable </w:t>
      </w:r>
      <w:r w:rsidR="00BA0340" w:rsidRPr="003241F7">
        <w:rPr>
          <w:noProof/>
        </w:rPr>
        <w:t xml:space="preserve">transport and </w:t>
      </w:r>
      <w:r w:rsidR="00502A91" w:rsidRPr="003241F7">
        <w:rPr>
          <w:noProof/>
        </w:rPr>
        <w:t>mobility services that can reduce congestion and pollution, especially in urban areas</w:t>
      </w:r>
      <w:r w:rsidR="004206A4" w:rsidRPr="003241F7">
        <w:rPr>
          <w:noProof/>
        </w:rPr>
        <w:t>.</w:t>
      </w:r>
    </w:p>
    <w:p w14:paraId="3C12FC06" w14:textId="711F40DC" w:rsidR="00BA0340" w:rsidRPr="003241F7" w:rsidRDefault="00E01660" w:rsidP="00E01660">
      <w:pPr>
        <w:pStyle w:val="ManualConsidrant"/>
        <w:rPr>
          <w:noProof/>
        </w:rPr>
      </w:pPr>
      <w:r w:rsidRPr="00E01660">
        <w:t>(4)</w:t>
      </w:r>
      <w:r w:rsidRPr="00E01660">
        <w:tab/>
      </w:r>
      <w:r w:rsidR="00BA0340" w:rsidRPr="003241F7">
        <w:rPr>
          <w:noProof/>
        </w:rPr>
        <w:t xml:space="preserve">The growing need to make better use of data in making transport chains more sustainable, efficient and resilient, calls for enhanced coordination of the ITS framework with other initiatives aimed </w:t>
      </w:r>
      <w:r w:rsidR="002143F6">
        <w:rPr>
          <w:noProof/>
        </w:rPr>
        <w:t>at</w:t>
      </w:r>
      <w:r w:rsidR="002143F6" w:rsidRPr="003241F7">
        <w:rPr>
          <w:noProof/>
        </w:rPr>
        <w:t xml:space="preserve"> </w:t>
      </w:r>
      <w:r w:rsidR="00BA0340" w:rsidRPr="003241F7">
        <w:rPr>
          <w:noProof/>
        </w:rPr>
        <w:t>harmonis</w:t>
      </w:r>
      <w:r w:rsidR="002143F6">
        <w:rPr>
          <w:noProof/>
        </w:rPr>
        <w:t>ing</w:t>
      </w:r>
      <w:r w:rsidR="00BA0340" w:rsidRPr="003241F7">
        <w:rPr>
          <w:noProof/>
        </w:rPr>
        <w:t xml:space="preserve"> and facilitat</w:t>
      </w:r>
      <w:r w:rsidR="002143F6">
        <w:rPr>
          <w:noProof/>
        </w:rPr>
        <w:t>ing</w:t>
      </w:r>
      <w:r w:rsidR="00BA0340" w:rsidRPr="003241F7">
        <w:rPr>
          <w:noProof/>
        </w:rPr>
        <w:t xml:space="preserve"> data sharing in the mobility, transport and logistics sectors </w:t>
      </w:r>
      <w:r w:rsidR="002143F6">
        <w:rPr>
          <w:noProof/>
        </w:rPr>
        <w:t>with a</w:t>
      </w:r>
      <w:r w:rsidR="00BA0340" w:rsidRPr="003241F7">
        <w:rPr>
          <w:noProof/>
        </w:rPr>
        <w:t xml:space="preserve"> multimodal perspective</w:t>
      </w:r>
      <w:r w:rsidR="00BA0340" w:rsidRPr="00F478F1">
        <w:rPr>
          <w:rStyle w:val="FootnoteReference"/>
          <w:noProof/>
        </w:rPr>
        <w:footnoteReference w:id="38"/>
      </w:r>
      <w:r w:rsidR="00BA0340" w:rsidRPr="003241F7">
        <w:rPr>
          <w:noProof/>
        </w:rPr>
        <w:t>.</w:t>
      </w:r>
    </w:p>
    <w:p w14:paraId="4D968292" w14:textId="09C54CC8" w:rsidR="00502A91" w:rsidRPr="003241F7" w:rsidRDefault="00E01660" w:rsidP="00E01660">
      <w:pPr>
        <w:pStyle w:val="ManualConsidrant"/>
        <w:rPr>
          <w:noProof/>
        </w:rPr>
      </w:pPr>
      <w:r w:rsidRPr="00E01660">
        <w:t>(5)</w:t>
      </w:r>
      <w:r w:rsidRPr="00E01660">
        <w:tab/>
      </w:r>
      <w:r w:rsidR="008D60ED">
        <w:rPr>
          <w:noProof/>
        </w:rPr>
        <w:t>In view of the need to digitalis</w:t>
      </w:r>
      <w:r w:rsidR="002C7F71" w:rsidRPr="002C7F71">
        <w:rPr>
          <w:noProof/>
        </w:rPr>
        <w:t>e road transport, to increase road safety and reduce congestion, the deployment and use of intelligent transport systems and services on roads should be further developed on the trans-European transport network</w:t>
      </w:r>
      <w:r w:rsidR="00180DD3" w:rsidRPr="003241F7">
        <w:rPr>
          <w:noProof/>
        </w:rPr>
        <w:t>.</w:t>
      </w:r>
    </w:p>
    <w:p w14:paraId="221BECB7" w14:textId="2CA67AE4" w:rsidR="00180DD3" w:rsidRPr="003241F7" w:rsidRDefault="00E01660" w:rsidP="00E01660">
      <w:pPr>
        <w:pStyle w:val="ManualConsidrant"/>
        <w:rPr>
          <w:noProof/>
        </w:rPr>
      </w:pPr>
      <w:r w:rsidRPr="00E01660">
        <w:t>(6)</w:t>
      </w:r>
      <w:r w:rsidRPr="00E01660">
        <w:tab/>
      </w:r>
      <w:r w:rsidR="005006B8" w:rsidRPr="003241F7">
        <w:rPr>
          <w:noProof/>
        </w:rPr>
        <w:t>In many Member States national applications of th</w:t>
      </w:r>
      <w:r w:rsidR="00F62F3C">
        <w:rPr>
          <w:noProof/>
        </w:rPr>
        <w:t>o</w:t>
      </w:r>
      <w:r w:rsidR="005006B8" w:rsidRPr="003241F7">
        <w:rPr>
          <w:noProof/>
        </w:rPr>
        <w:t xml:space="preserve">se </w:t>
      </w:r>
      <w:r w:rsidR="00F62F3C" w:rsidRPr="002C7F71">
        <w:rPr>
          <w:noProof/>
        </w:rPr>
        <w:t xml:space="preserve">systems and services </w:t>
      </w:r>
      <w:r w:rsidR="005006B8" w:rsidRPr="003241F7">
        <w:rPr>
          <w:noProof/>
        </w:rPr>
        <w:t xml:space="preserve">are already being deployed in the road transport sector. However, </w:t>
      </w:r>
      <w:r w:rsidR="00AC2E1B" w:rsidRPr="003241F7">
        <w:rPr>
          <w:noProof/>
        </w:rPr>
        <w:t xml:space="preserve">despite improvements since </w:t>
      </w:r>
      <w:r w:rsidR="00F62F3C">
        <w:rPr>
          <w:noProof/>
        </w:rPr>
        <w:t>its</w:t>
      </w:r>
      <w:r w:rsidR="00F62F3C" w:rsidRPr="003241F7">
        <w:rPr>
          <w:noProof/>
        </w:rPr>
        <w:t xml:space="preserve"> </w:t>
      </w:r>
      <w:r w:rsidR="00AC2E1B" w:rsidRPr="003241F7">
        <w:rPr>
          <w:noProof/>
        </w:rPr>
        <w:t xml:space="preserve">adoption in 2010, </w:t>
      </w:r>
      <w:r w:rsidR="005006B8" w:rsidRPr="003241F7">
        <w:rPr>
          <w:noProof/>
        </w:rPr>
        <w:t>the evaluation of Directive</w:t>
      </w:r>
      <w:r w:rsidR="00F62F3C">
        <w:rPr>
          <w:noProof/>
        </w:rPr>
        <w:t xml:space="preserve"> </w:t>
      </w:r>
      <w:r w:rsidR="00F62F3C" w:rsidRPr="001C21FA">
        <w:rPr>
          <w:noProof/>
        </w:rPr>
        <w:t>2010/40/EU</w:t>
      </w:r>
      <w:r w:rsidR="008B2638" w:rsidRPr="00F478F1">
        <w:rPr>
          <w:rStyle w:val="FootnoteReference"/>
          <w:noProof/>
        </w:rPr>
        <w:footnoteReference w:id="39"/>
      </w:r>
      <w:r w:rsidR="00771C2E" w:rsidRPr="003241F7">
        <w:rPr>
          <w:noProof/>
        </w:rPr>
        <w:t xml:space="preserve"> </w:t>
      </w:r>
      <w:r w:rsidR="005006B8" w:rsidRPr="003241F7">
        <w:rPr>
          <w:noProof/>
        </w:rPr>
        <w:t>found persistent shortcomings leading to remaining fragmented and uncoordinated deployment and lack of geographical continuity of ITS services throughout the Union and at its external borders.</w:t>
      </w:r>
    </w:p>
    <w:p w14:paraId="2454DB82" w14:textId="6F8DC409" w:rsidR="005006B8" w:rsidRPr="003241F7" w:rsidRDefault="00E01660" w:rsidP="00E01660">
      <w:pPr>
        <w:pStyle w:val="ManualConsidrant"/>
        <w:rPr>
          <w:noProof/>
        </w:rPr>
      </w:pPr>
      <w:r w:rsidRPr="00E01660">
        <w:t>(7)</w:t>
      </w:r>
      <w:r w:rsidRPr="00E01660">
        <w:tab/>
      </w:r>
      <w:r w:rsidR="00FA296F" w:rsidRPr="003241F7">
        <w:rPr>
          <w:noProof/>
        </w:rPr>
        <w:t>In the context of the implementation of Co</w:t>
      </w:r>
      <w:r w:rsidR="00632936" w:rsidRPr="003241F7">
        <w:rPr>
          <w:noProof/>
        </w:rPr>
        <w:t>mmission Delegated Regulations</w:t>
      </w:r>
      <w:r w:rsidR="00632936" w:rsidRPr="00F478F1">
        <w:rPr>
          <w:rStyle w:val="FootnoteReference"/>
          <w:noProof/>
        </w:rPr>
        <w:footnoteReference w:id="40"/>
      </w:r>
      <w:r w:rsidR="00632936" w:rsidRPr="003241F7">
        <w:rPr>
          <w:noProof/>
        </w:rPr>
        <w:t xml:space="preserve"> </w:t>
      </w:r>
      <w:r w:rsidR="00FA296F" w:rsidRPr="003241F7">
        <w:rPr>
          <w:noProof/>
        </w:rPr>
        <w:t>supplementing Directive 2010/40/EU, Member States have esta</w:t>
      </w:r>
      <w:r w:rsidR="003C5237" w:rsidRPr="003241F7">
        <w:rPr>
          <w:noProof/>
        </w:rPr>
        <w:t xml:space="preserve">blished </w:t>
      </w:r>
      <w:r w:rsidR="004030A3">
        <w:rPr>
          <w:noProof/>
        </w:rPr>
        <w:t>n</w:t>
      </w:r>
      <w:r w:rsidR="003C5237" w:rsidRPr="003241F7">
        <w:rPr>
          <w:noProof/>
        </w:rPr>
        <w:t xml:space="preserve">ational </w:t>
      </w:r>
      <w:r w:rsidR="005B08E6">
        <w:rPr>
          <w:noProof/>
        </w:rPr>
        <w:t>a</w:t>
      </w:r>
      <w:r w:rsidR="003C5237" w:rsidRPr="003241F7">
        <w:rPr>
          <w:noProof/>
        </w:rPr>
        <w:t xml:space="preserve">ccess </w:t>
      </w:r>
      <w:r w:rsidR="005B08E6">
        <w:rPr>
          <w:noProof/>
        </w:rPr>
        <w:t>p</w:t>
      </w:r>
      <w:r w:rsidR="003C5237" w:rsidRPr="003241F7">
        <w:rPr>
          <w:noProof/>
        </w:rPr>
        <w:t>oints</w:t>
      </w:r>
      <w:r w:rsidR="003C5237" w:rsidRPr="00F478F1">
        <w:rPr>
          <w:rStyle w:val="FootnoteReference"/>
          <w:noProof/>
        </w:rPr>
        <w:footnoteReference w:id="41"/>
      </w:r>
      <w:r w:rsidR="003C5237" w:rsidRPr="003241F7">
        <w:rPr>
          <w:noProof/>
        </w:rPr>
        <w:t xml:space="preserve"> </w:t>
      </w:r>
      <w:r w:rsidR="00FA296F" w:rsidRPr="003241F7">
        <w:rPr>
          <w:noProof/>
        </w:rPr>
        <w:t>(NAPs)</w:t>
      </w:r>
      <w:r w:rsidR="005B08E6">
        <w:rPr>
          <w:noProof/>
        </w:rPr>
        <w:t>.</w:t>
      </w:r>
      <w:r w:rsidR="00FA296F" w:rsidRPr="003241F7">
        <w:rPr>
          <w:noProof/>
        </w:rPr>
        <w:t xml:space="preserve"> </w:t>
      </w:r>
      <w:r w:rsidR="005B08E6">
        <w:rPr>
          <w:noProof/>
        </w:rPr>
        <w:t>The NAPs</w:t>
      </w:r>
      <w:r w:rsidR="00FA296F" w:rsidRPr="003241F7">
        <w:rPr>
          <w:noProof/>
        </w:rPr>
        <w:t xml:space="preserve"> organise the access </w:t>
      </w:r>
      <w:r w:rsidR="005B08E6">
        <w:rPr>
          <w:noProof/>
        </w:rPr>
        <w:t xml:space="preserve">to </w:t>
      </w:r>
      <w:r w:rsidR="00FA296F" w:rsidRPr="003241F7">
        <w:rPr>
          <w:noProof/>
        </w:rPr>
        <w:t xml:space="preserve">and reuse of transport related data to help support the provision of EU-wide interoperable travel and traffic ITS services to end users. These NAPs are an important component of the </w:t>
      </w:r>
      <w:r w:rsidR="005B08E6">
        <w:rPr>
          <w:noProof/>
        </w:rPr>
        <w:t>c</w:t>
      </w:r>
      <w:r w:rsidR="00FA296F" w:rsidRPr="003241F7">
        <w:rPr>
          <w:noProof/>
        </w:rPr>
        <w:t xml:space="preserve">ommon European </w:t>
      </w:r>
      <w:r w:rsidR="005B08E6">
        <w:rPr>
          <w:noProof/>
        </w:rPr>
        <w:t>m</w:t>
      </w:r>
      <w:r w:rsidR="00FA296F" w:rsidRPr="003241F7">
        <w:rPr>
          <w:noProof/>
        </w:rPr>
        <w:t xml:space="preserve">obility </w:t>
      </w:r>
      <w:r w:rsidR="005B08E6">
        <w:rPr>
          <w:noProof/>
        </w:rPr>
        <w:t>d</w:t>
      </w:r>
      <w:r w:rsidR="00FA296F" w:rsidRPr="003241F7">
        <w:rPr>
          <w:noProof/>
        </w:rPr>
        <w:t xml:space="preserve">ata </w:t>
      </w:r>
      <w:r w:rsidR="005B08E6">
        <w:rPr>
          <w:noProof/>
        </w:rPr>
        <w:t>s</w:t>
      </w:r>
      <w:r w:rsidR="00FA296F" w:rsidRPr="003241F7">
        <w:rPr>
          <w:noProof/>
        </w:rPr>
        <w:t>pace</w:t>
      </w:r>
      <w:r w:rsidR="005B08E6" w:rsidRPr="005B08E6">
        <w:rPr>
          <w:noProof/>
        </w:rPr>
        <w:t xml:space="preserve"> </w:t>
      </w:r>
      <w:r w:rsidR="005B08E6">
        <w:rPr>
          <w:noProof/>
        </w:rPr>
        <w:t>under</w:t>
      </w:r>
      <w:r w:rsidR="005B08E6" w:rsidRPr="003241F7">
        <w:rPr>
          <w:noProof/>
        </w:rPr>
        <w:t xml:space="preserve"> </w:t>
      </w:r>
      <w:r w:rsidR="00FA296F" w:rsidRPr="003241F7">
        <w:rPr>
          <w:noProof/>
        </w:rPr>
        <w:t>the European strategy for data</w:t>
      </w:r>
      <w:r w:rsidR="003C5237" w:rsidRPr="00F478F1">
        <w:rPr>
          <w:rStyle w:val="FootnoteReference"/>
          <w:noProof/>
        </w:rPr>
        <w:footnoteReference w:id="42"/>
      </w:r>
      <w:r w:rsidR="0080263F" w:rsidRPr="0080263F">
        <w:rPr>
          <w:noProof/>
        </w:rPr>
        <w:t xml:space="preserve"> and should be relied upon </w:t>
      </w:r>
      <w:r w:rsidR="00BA1519">
        <w:rPr>
          <w:noProof/>
        </w:rPr>
        <w:t>in particular as regards the accessibility of data</w:t>
      </w:r>
      <w:r w:rsidR="00FA296F" w:rsidRPr="003241F7">
        <w:rPr>
          <w:noProof/>
        </w:rPr>
        <w:t>.</w:t>
      </w:r>
    </w:p>
    <w:p w14:paraId="6675D873" w14:textId="719B580C" w:rsidR="00FA296F" w:rsidRPr="003241F7" w:rsidRDefault="00E01660" w:rsidP="00E01660">
      <w:pPr>
        <w:pStyle w:val="ManualConsidrant"/>
        <w:rPr>
          <w:noProof/>
        </w:rPr>
      </w:pPr>
      <w:r w:rsidRPr="00E01660">
        <w:t>(8)</w:t>
      </w:r>
      <w:r w:rsidRPr="00E01660">
        <w:tab/>
      </w:r>
      <w:r w:rsidR="00A8541B" w:rsidRPr="003241F7">
        <w:rPr>
          <w:noProof/>
        </w:rPr>
        <w:t>To ensure a coordinated and effective deployment of ITS within the Union as a whole, specifications</w:t>
      </w:r>
      <w:r w:rsidR="004206A4" w:rsidRPr="003241F7">
        <w:rPr>
          <w:noProof/>
        </w:rPr>
        <w:t xml:space="preserve"> </w:t>
      </w:r>
      <w:r w:rsidR="00A8541B" w:rsidRPr="003241F7">
        <w:rPr>
          <w:noProof/>
        </w:rPr>
        <w:t>including</w:t>
      </w:r>
      <w:r w:rsidR="00160E66">
        <w:rPr>
          <w:noProof/>
        </w:rPr>
        <w:t>,</w:t>
      </w:r>
      <w:r w:rsidR="00A8541B" w:rsidRPr="003241F7">
        <w:rPr>
          <w:noProof/>
        </w:rPr>
        <w:t xml:space="preserve"> </w:t>
      </w:r>
      <w:r w:rsidR="00160E66" w:rsidRPr="003241F7">
        <w:rPr>
          <w:noProof/>
        </w:rPr>
        <w:t>where appropriate</w:t>
      </w:r>
      <w:r w:rsidR="00160E66">
        <w:rPr>
          <w:noProof/>
        </w:rPr>
        <w:t>,</w:t>
      </w:r>
      <w:r w:rsidR="00160E66" w:rsidRPr="003241F7">
        <w:rPr>
          <w:noProof/>
        </w:rPr>
        <w:t xml:space="preserve"> </w:t>
      </w:r>
      <w:r w:rsidR="00A8541B" w:rsidRPr="003241F7">
        <w:rPr>
          <w:noProof/>
        </w:rPr>
        <w:t xml:space="preserve">standards, </w:t>
      </w:r>
      <w:r w:rsidR="00846E66">
        <w:rPr>
          <w:noProof/>
        </w:rPr>
        <w:t>laying down</w:t>
      </w:r>
      <w:r w:rsidR="00846E66" w:rsidRPr="003241F7">
        <w:rPr>
          <w:noProof/>
        </w:rPr>
        <w:t xml:space="preserve"> </w:t>
      </w:r>
      <w:r w:rsidR="00A8541B" w:rsidRPr="003241F7">
        <w:rPr>
          <w:noProof/>
        </w:rPr>
        <w:t>further detailed provisions and procedures should be introduced, in addition to already adopted specifications. Before adopting any additional or revised specifications, the Commission should assess their compliance with certain defined principles set out in Annex II. Priority should be given in the first instance to the four main areas of ITS development and deployment. During further implementation of ITS the existing ITS infrastructure deployed by a particular Member State should be taken into account in terms of technological progress and financial efforts made.</w:t>
      </w:r>
      <w:r w:rsidR="003B6195">
        <w:rPr>
          <w:noProof/>
        </w:rPr>
        <w:t xml:space="preserve"> </w:t>
      </w:r>
      <w:r w:rsidR="003B6195" w:rsidRPr="003B6195">
        <w:rPr>
          <w:noProof/>
        </w:rPr>
        <w:t>If appropriate, it should be ensured, in particular for C-ITS, that requirements for ITS systems neither impose nor discriminate in favour of the use of a particular type of technology</w:t>
      </w:r>
      <w:r w:rsidR="003B6195">
        <w:rPr>
          <w:noProof/>
        </w:rPr>
        <w:t>.</w:t>
      </w:r>
    </w:p>
    <w:p w14:paraId="51FDA5E4" w14:textId="4B7F66E6" w:rsidR="00276212" w:rsidRDefault="00E01660" w:rsidP="00E01660">
      <w:pPr>
        <w:pStyle w:val="ManualConsidrant"/>
        <w:rPr>
          <w:noProof/>
        </w:rPr>
      </w:pPr>
      <w:r w:rsidRPr="00E01660">
        <w:t>(9)</w:t>
      </w:r>
      <w:r w:rsidRPr="00E01660">
        <w:tab/>
      </w:r>
      <w:r w:rsidR="00A8541B" w:rsidRPr="003241F7">
        <w:rPr>
          <w:noProof/>
        </w:rPr>
        <w:t xml:space="preserve">The specifications should take into account and build upon the experience and results already obtained in the field of ITS, </w:t>
      </w:r>
      <w:r w:rsidR="0020644B">
        <w:rPr>
          <w:noProof/>
        </w:rPr>
        <w:t>c</w:t>
      </w:r>
      <w:r w:rsidR="00A8541B" w:rsidRPr="003241F7">
        <w:rPr>
          <w:noProof/>
        </w:rPr>
        <w:t xml:space="preserve">ooperative </w:t>
      </w:r>
      <w:r w:rsidR="0020644B" w:rsidRPr="0020644B">
        <w:rPr>
          <w:noProof/>
        </w:rPr>
        <w:t>intelligent transport systems</w:t>
      </w:r>
      <w:r w:rsidR="0020644B" w:rsidRPr="0020644B" w:rsidDel="0020644B">
        <w:rPr>
          <w:noProof/>
        </w:rPr>
        <w:t xml:space="preserve"> </w:t>
      </w:r>
      <w:r w:rsidR="00A8541B" w:rsidRPr="003241F7">
        <w:rPr>
          <w:noProof/>
        </w:rPr>
        <w:t xml:space="preserve">(C-ITS) and </w:t>
      </w:r>
      <w:r w:rsidR="00AD651C">
        <w:rPr>
          <w:noProof/>
        </w:rPr>
        <w:t>c</w:t>
      </w:r>
      <w:r w:rsidR="00A8541B" w:rsidRPr="003241F7">
        <w:rPr>
          <w:noProof/>
        </w:rPr>
        <w:t>ooperative, connected and automated mobility (CCAM), notably in the context of the C-ITS</w:t>
      </w:r>
      <w:r w:rsidR="00AB34B3">
        <w:rPr>
          <w:rStyle w:val="FootnoteReference"/>
          <w:noProof/>
        </w:rPr>
        <w:footnoteReference w:id="43"/>
      </w:r>
      <w:r w:rsidR="00A8541B" w:rsidRPr="003241F7">
        <w:rPr>
          <w:noProof/>
        </w:rPr>
        <w:t xml:space="preserve"> and CCAM platforms</w:t>
      </w:r>
      <w:r w:rsidR="00AB34B3">
        <w:rPr>
          <w:rStyle w:val="FootnoteReference"/>
          <w:noProof/>
        </w:rPr>
        <w:footnoteReference w:id="44"/>
      </w:r>
      <w:r w:rsidR="00A8541B" w:rsidRPr="003241F7">
        <w:rPr>
          <w:noProof/>
        </w:rPr>
        <w:t xml:space="preserve">, the European </w:t>
      </w:r>
      <w:r w:rsidR="00B96FF1">
        <w:rPr>
          <w:noProof/>
        </w:rPr>
        <w:t>Forum</w:t>
      </w:r>
      <w:r w:rsidR="00A8541B" w:rsidRPr="003241F7">
        <w:rPr>
          <w:noProof/>
        </w:rPr>
        <w:t xml:space="preserve"> for Multimodal Passenger Mobility</w:t>
      </w:r>
      <w:r w:rsidR="00A8541B" w:rsidRPr="00384088">
        <w:rPr>
          <w:rStyle w:val="FootnoteReference"/>
          <w:noProof/>
        </w:rPr>
        <w:footnoteReference w:id="45"/>
      </w:r>
      <w:r w:rsidR="00A8541B" w:rsidRPr="003241F7">
        <w:rPr>
          <w:noProof/>
        </w:rPr>
        <w:t xml:space="preserve"> and the European eCall Implementation Platform</w:t>
      </w:r>
      <w:r w:rsidR="00A8541B" w:rsidRPr="00384088">
        <w:rPr>
          <w:rStyle w:val="FootnoteReference"/>
          <w:noProof/>
        </w:rPr>
        <w:footnoteReference w:id="46"/>
      </w:r>
      <w:r w:rsidR="00276212" w:rsidRPr="003241F7">
        <w:rPr>
          <w:noProof/>
        </w:rPr>
        <w:t>.</w:t>
      </w:r>
    </w:p>
    <w:p w14:paraId="4314E7E1" w14:textId="1B634CA0" w:rsidR="00A01234" w:rsidRPr="003241F7" w:rsidRDefault="00E01660" w:rsidP="00E01660">
      <w:pPr>
        <w:pStyle w:val="ManualConsidrant"/>
        <w:rPr>
          <w:noProof/>
        </w:rPr>
      </w:pPr>
      <w:r w:rsidRPr="00E01660">
        <w:t>(10)</w:t>
      </w:r>
      <w:r w:rsidRPr="00E01660">
        <w:tab/>
      </w:r>
      <w:r w:rsidR="00A01234" w:rsidRPr="00A01234">
        <w:rPr>
          <w:noProof/>
        </w:rPr>
        <w:t>The specifications should foster innovation</w:t>
      </w:r>
      <w:r w:rsidR="00BA63BF">
        <w:rPr>
          <w:noProof/>
        </w:rPr>
        <w:t>.</w:t>
      </w:r>
      <w:r w:rsidR="00A01234" w:rsidRPr="00A01234">
        <w:rPr>
          <w:noProof/>
        </w:rPr>
        <w:t xml:space="preserve"> </w:t>
      </w:r>
      <w:r w:rsidR="00BA63BF">
        <w:rPr>
          <w:noProof/>
        </w:rPr>
        <w:t>T</w:t>
      </w:r>
      <w:r w:rsidR="00A01234" w:rsidRPr="00A01234">
        <w:rPr>
          <w:noProof/>
        </w:rPr>
        <w:t xml:space="preserve">he increased availability of data should for example lead to the development of new ITS services, and vice-versa innovation should identify the needs for future specifications. The European Partnership on </w:t>
      </w:r>
      <w:r w:rsidR="00420701">
        <w:rPr>
          <w:noProof/>
        </w:rPr>
        <w:t>c</w:t>
      </w:r>
      <w:r w:rsidR="001130D7">
        <w:rPr>
          <w:noProof/>
        </w:rPr>
        <w:t>ooperative, c</w:t>
      </w:r>
      <w:r w:rsidR="00A01234" w:rsidRPr="00A01234">
        <w:rPr>
          <w:noProof/>
        </w:rPr>
        <w:t xml:space="preserve">onnected and </w:t>
      </w:r>
      <w:r w:rsidR="00420701">
        <w:rPr>
          <w:noProof/>
        </w:rPr>
        <w:t>a</w:t>
      </w:r>
      <w:r w:rsidR="00A01234" w:rsidRPr="00A01234">
        <w:rPr>
          <w:noProof/>
        </w:rPr>
        <w:t xml:space="preserve">utomated </w:t>
      </w:r>
      <w:r w:rsidR="00420701">
        <w:rPr>
          <w:noProof/>
        </w:rPr>
        <w:t>m</w:t>
      </w:r>
      <w:r w:rsidR="00A01234" w:rsidRPr="00A01234">
        <w:rPr>
          <w:noProof/>
        </w:rPr>
        <w:t>obility under Horizon Europe should support the development and testing of the next wave of C-ITS services, helping the integration of highly automated vehicles in new multimodal mobility services.</w:t>
      </w:r>
    </w:p>
    <w:p w14:paraId="5B80DD10" w14:textId="5B851429" w:rsidR="005779B8" w:rsidRDefault="00E01660" w:rsidP="00E01660">
      <w:pPr>
        <w:pStyle w:val="ManualConsidrant"/>
        <w:rPr>
          <w:noProof/>
        </w:rPr>
      </w:pPr>
      <w:r w:rsidRPr="00E01660">
        <w:t>(11)</w:t>
      </w:r>
      <w:r w:rsidRPr="00E01660">
        <w:tab/>
      </w:r>
      <w:r w:rsidR="00C47415">
        <w:rPr>
          <w:noProof/>
        </w:rPr>
        <w:t>C-ITS</w:t>
      </w:r>
      <w:r w:rsidR="00276212" w:rsidRPr="003241F7">
        <w:rPr>
          <w:noProof/>
        </w:rPr>
        <w:t xml:space="preserve"> use technologies that enable road vehicles to communicate with each other and with roadside infrastructure including traffic signals. C-ITS services are a category of ITS services based on an open </w:t>
      </w:r>
      <w:r w:rsidR="00366D9D">
        <w:rPr>
          <w:noProof/>
        </w:rPr>
        <w:t>architecture</w:t>
      </w:r>
      <w:r w:rsidR="00366D9D" w:rsidRPr="003241F7">
        <w:rPr>
          <w:noProof/>
        </w:rPr>
        <w:t xml:space="preserve"> </w:t>
      </w:r>
      <w:r w:rsidR="00276212" w:rsidRPr="003241F7">
        <w:rPr>
          <w:noProof/>
        </w:rPr>
        <w:t xml:space="preserve">that enables a many-to-many or peer-to-peer relationship between C-ITS stations. This means all C-ITS stations </w:t>
      </w:r>
      <w:r w:rsidR="008F5ACD">
        <w:rPr>
          <w:noProof/>
        </w:rPr>
        <w:t>should</w:t>
      </w:r>
      <w:r w:rsidR="008F5ACD" w:rsidRPr="003241F7">
        <w:rPr>
          <w:noProof/>
        </w:rPr>
        <w:t xml:space="preserve"> </w:t>
      </w:r>
      <w:r w:rsidR="00276212" w:rsidRPr="003241F7">
        <w:rPr>
          <w:noProof/>
        </w:rPr>
        <w:t xml:space="preserve">securely exchange messages with each other, and </w:t>
      </w:r>
      <w:r w:rsidR="008F5ACD">
        <w:rPr>
          <w:noProof/>
        </w:rPr>
        <w:t>should</w:t>
      </w:r>
      <w:r w:rsidR="008F5ACD" w:rsidRPr="003241F7">
        <w:rPr>
          <w:noProof/>
        </w:rPr>
        <w:t xml:space="preserve"> </w:t>
      </w:r>
      <w:r w:rsidR="00276212" w:rsidRPr="003241F7">
        <w:rPr>
          <w:noProof/>
        </w:rPr>
        <w:t xml:space="preserve">not </w:t>
      </w:r>
      <w:r w:rsidR="008F5ACD">
        <w:rPr>
          <w:noProof/>
        </w:rPr>
        <w:t xml:space="preserve">be </w:t>
      </w:r>
      <w:r w:rsidR="00276212" w:rsidRPr="003241F7">
        <w:rPr>
          <w:noProof/>
        </w:rPr>
        <w:t xml:space="preserve">limited to exchanging messages with pre-defined stations. </w:t>
      </w:r>
      <w:r w:rsidR="008F5ACD">
        <w:rPr>
          <w:noProof/>
        </w:rPr>
        <w:t>Most</w:t>
      </w:r>
      <w:r w:rsidR="00276212" w:rsidRPr="003241F7">
        <w:rPr>
          <w:noProof/>
        </w:rPr>
        <w:t xml:space="preserve"> services </w:t>
      </w:r>
      <w:r w:rsidR="00C47415">
        <w:rPr>
          <w:noProof/>
        </w:rPr>
        <w:t xml:space="preserve">require </w:t>
      </w:r>
      <w:r w:rsidR="00276212" w:rsidRPr="003241F7">
        <w:rPr>
          <w:noProof/>
        </w:rPr>
        <w:t>ensur</w:t>
      </w:r>
      <w:r w:rsidR="00C47415">
        <w:rPr>
          <w:noProof/>
        </w:rPr>
        <w:t>ing</w:t>
      </w:r>
      <w:r w:rsidR="00276212" w:rsidRPr="003241F7">
        <w:rPr>
          <w:noProof/>
        </w:rPr>
        <w:t xml:space="preserve"> the authenticity and integrity of C-ITS messages containing information such as position, velocity and heading. Therefore, one common European C-ITS trust model should be </w:t>
      </w:r>
      <w:r w:rsidR="004566DD">
        <w:rPr>
          <w:noProof/>
        </w:rPr>
        <w:t>created</w:t>
      </w:r>
      <w:r w:rsidR="004566DD" w:rsidRPr="003241F7">
        <w:rPr>
          <w:noProof/>
        </w:rPr>
        <w:t xml:space="preserve"> </w:t>
      </w:r>
      <w:r w:rsidR="008D7491">
        <w:rPr>
          <w:noProof/>
        </w:rPr>
        <w:t xml:space="preserve">to establish a relation of trust between </w:t>
      </w:r>
      <w:r w:rsidR="00276212" w:rsidRPr="003241F7">
        <w:rPr>
          <w:noProof/>
        </w:rPr>
        <w:t xml:space="preserve">all C-ITS stations, regardless of communication technologies used. </w:t>
      </w:r>
      <w:r w:rsidR="002C38CC">
        <w:rPr>
          <w:noProof/>
        </w:rPr>
        <w:t>That trust model</w:t>
      </w:r>
      <w:r w:rsidR="008D7491" w:rsidRPr="008D7491">
        <w:rPr>
          <w:noProof/>
        </w:rPr>
        <w:t xml:space="preserve"> </w:t>
      </w:r>
      <w:r w:rsidR="00CA10E8">
        <w:rPr>
          <w:noProof/>
        </w:rPr>
        <w:t>should be</w:t>
      </w:r>
      <w:r w:rsidR="008D7491" w:rsidRPr="008D7491">
        <w:rPr>
          <w:noProof/>
        </w:rPr>
        <w:t xml:space="preserve"> implemented </w:t>
      </w:r>
      <w:r w:rsidR="00CA10E8">
        <w:rPr>
          <w:noProof/>
        </w:rPr>
        <w:t xml:space="preserve">by the adoption of a policy on </w:t>
      </w:r>
      <w:r w:rsidR="008D7491" w:rsidRPr="008D7491">
        <w:rPr>
          <w:noProof/>
        </w:rPr>
        <w:t xml:space="preserve">the use of a </w:t>
      </w:r>
      <w:r w:rsidR="00276212" w:rsidRPr="008D7491">
        <w:rPr>
          <w:noProof/>
        </w:rPr>
        <w:t>Public Key Infrastructure (</w:t>
      </w:r>
      <w:r w:rsidR="008D7491" w:rsidRPr="008D7491">
        <w:rPr>
          <w:noProof/>
        </w:rPr>
        <w:t>PKI</w:t>
      </w:r>
      <w:r w:rsidR="008D7491">
        <w:rPr>
          <w:noProof/>
        </w:rPr>
        <w:t>)</w:t>
      </w:r>
      <w:r w:rsidR="00A8414D">
        <w:rPr>
          <w:noProof/>
        </w:rPr>
        <w:t>.</w:t>
      </w:r>
      <w:r w:rsidR="00CA10E8">
        <w:rPr>
          <w:noProof/>
        </w:rPr>
        <w:t xml:space="preserve"> </w:t>
      </w:r>
      <w:r w:rsidR="00A8414D">
        <w:rPr>
          <w:noProof/>
        </w:rPr>
        <w:t>T</w:t>
      </w:r>
      <w:r w:rsidR="00276212" w:rsidRPr="003241F7">
        <w:rPr>
          <w:noProof/>
        </w:rPr>
        <w:t>he highest level of th</w:t>
      </w:r>
      <w:r w:rsidR="00845C6A">
        <w:rPr>
          <w:noProof/>
        </w:rPr>
        <w:t>at</w:t>
      </w:r>
      <w:r w:rsidR="00276212" w:rsidRPr="003241F7">
        <w:rPr>
          <w:noProof/>
        </w:rPr>
        <w:t xml:space="preserve"> PKI </w:t>
      </w:r>
      <w:r w:rsidR="00845C6A">
        <w:rPr>
          <w:noProof/>
        </w:rPr>
        <w:t xml:space="preserve">should be </w:t>
      </w:r>
      <w:r w:rsidR="00276212" w:rsidRPr="003241F7">
        <w:rPr>
          <w:noProof/>
        </w:rPr>
        <w:t xml:space="preserve">the European certificate trust list, </w:t>
      </w:r>
      <w:r w:rsidR="00845C6A">
        <w:rPr>
          <w:noProof/>
        </w:rPr>
        <w:t>consisting of</w:t>
      </w:r>
      <w:r w:rsidR="00276212" w:rsidRPr="003241F7">
        <w:rPr>
          <w:noProof/>
        </w:rPr>
        <w:t xml:space="preserve"> entries of all trusted root certification authorities in Europe.</w:t>
      </w:r>
      <w:r w:rsidR="008D7491">
        <w:rPr>
          <w:noProof/>
        </w:rPr>
        <w:t xml:space="preserve"> </w:t>
      </w:r>
      <w:r w:rsidR="005779B8" w:rsidRPr="003241F7">
        <w:rPr>
          <w:noProof/>
        </w:rPr>
        <w:t>To ensure the smooth functioning of th</w:t>
      </w:r>
      <w:r w:rsidR="005779B8">
        <w:rPr>
          <w:noProof/>
        </w:rPr>
        <w:t>at</w:t>
      </w:r>
      <w:r w:rsidR="005779B8" w:rsidRPr="003241F7">
        <w:rPr>
          <w:noProof/>
        </w:rPr>
        <w:t xml:space="preserve"> </w:t>
      </w:r>
      <w:r w:rsidR="005779B8" w:rsidRPr="00035D87">
        <w:rPr>
          <w:noProof/>
        </w:rPr>
        <w:t>C-ITS trust model</w:t>
      </w:r>
      <w:r w:rsidR="005779B8" w:rsidRPr="003241F7">
        <w:rPr>
          <w:noProof/>
        </w:rPr>
        <w:t xml:space="preserve">, certain tasks should be carried out </w:t>
      </w:r>
      <w:r w:rsidR="00CA10E8">
        <w:rPr>
          <w:noProof/>
        </w:rPr>
        <w:t>at a</w:t>
      </w:r>
      <w:r w:rsidR="005779B8" w:rsidRPr="003241F7">
        <w:rPr>
          <w:noProof/>
        </w:rPr>
        <w:t xml:space="preserve"> central </w:t>
      </w:r>
      <w:r w:rsidR="00CA10E8">
        <w:rPr>
          <w:noProof/>
        </w:rPr>
        <w:t>level</w:t>
      </w:r>
      <w:r w:rsidR="005779B8" w:rsidRPr="003241F7">
        <w:rPr>
          <w:noProof/>
        </w:rPr>
        <w:t xml:space="preserve">. </w:t>
      </w:r>
      <w:r w:rsidR="005779B8">
        <w:rPr>
          <w:noProof/>
        </w:rPr>
        <w:t>T</w:t>
      </w:r>
      <w:r w:rsidR="005779B8" w:rsidRPr="003241F7">
        <w:rPr>
          <w:noProof/>
        </w:rPr>
        <w:t xml:space="preserve">he Commission should </w:t>
      </w:r>
      <w:r w:rsidR="008D3E19">
        <w:rPr>
          <w:noProof/>
        </w:rPr>
        <w:t>ensure that those essential</w:t>
      </w:r>
      <w:r w:rsidR="005779B8">
        <w:rPr>
          <w:noProof/>
        </w:rPr>
        <w:t xml:space="preserve"> </w:t>
      </w:r>
      <w:r w:rsidR="005779B8" w:rsidRPr="003241F7">
        <w:rPr>
          <w:noProof/>
        </w:rPr>
        <w:t>tasks</w:t>
      </w:r>
      <w:r w:rsidR="008D3E19" w:rsidRPr="008D3E19">
        <w:rPr>
          <w:noProof/>
        </w:rPr>
        <w:t xml:space="preserve"> </w:t>
      </w:r>
      <w:r w:rsidR="008D3E19">
        <w:rPr>
          <w:noProof/>
        </w:rPr>
        <w:t>are carried out</w:t>
      </w:r>
      <w:r w:rsidR="005779B8" w:rsidRPr="003241F7">
        <w:rPr>
          <w:noProof/>
        </w:rPr>
        <w:t xml:space="preserve">, </w:t>
      </w:r>
      <w:r w:rsidR="008D3E19">
        <w:rPr>
          <w:noProof/>
        </w:rPr>
        <w:t xml:space="preserve">in particular as concerns the roles of </w:t>
      </w:r>
      <w:r w:rsidR="005779B8" w:rsidRPr="003241F7">
        <w:rPr>
          <w:noProof/>
        </w:rPr>
        <w:t>the C-ITS certificate policy authority, the trust list manager, and the C-ITS point of contact</w:t>
      </w:r>
      <w:r w:rsidR="00B803FB">
        <w:rPr>
          <w:noProof/>
        </w:rPr>
        <w:t>.</w:t>
      </w:r>
    </w:p>
    <w:p w14:paraId="71FF6EB7" w14:textId="44AA7CDD" w:rsidR="00271827" w:rsidRPr="003241F7" w:rsidRDefault="00E01660" w:rsidP="00E01660">
      <w:pPr>
        <w:pStyle w:val="ManualConsidrant"/>
        <w:rPr>
          <w:noProof/>
        </w:rPr>
      </w:pPr>
      <w:r w:rsidRPr="00E01660">
        <w:t>(12)</w:t>
      </w:r>
      <w:r w:rsidRPr="00E01660">
        <w:tab/>
      </w:r>
      <w:r w:rsidR="00271827" w:rsidRPr="003241F7">
        <w:rPr>
          <w:noProof/>
        </w:rPr>
        <w:t>Most actions under Directive</w:t>
      </w:r>
      <w:r w:rsidR="00C26BDE">
        <w:rPr>
          <w:noProof/>
        </w:rPr>
        <w:t xml:space="preserve"> 2010/40/EU</w:t>
      </w:r>
      <w:r w:rsidR="002F3310">
        <w:rPr>
          <w:noProof/>
        </w:rPr>
        <w:t>,</w:t>
      </w:r>
      <w:r w:rsidR="00271827" w:rsidRPr="003241F7">
        <w:rPr>
          <w:noProof/>
        </w:rPr>
        <w:t xml:space="preserve"> with the ex</w:t>
      </w:r>
      <w:r w:rsidR="004D2438">
        <w:rPr>
          <w:noProof/>
        </w:rPr>
        <w:t>c</w:t>
      </w:r>
      <w:r w:rsidR="00271827" w:rsidRPr="003241F7">
        <w:rPr>
          <w:noProof/>
        </w:rPr>
        <w:t xml:space="preserve">eption of eCall, have focused on ensuring the interoperability and accessibility of data that is already available in digital machine-readable format and on the deployment of </w:t>
      </w:r>
      <w:r w:rsidR="002F3310">
        <w:rPr>
          <w:noProof/>
        </w:rPr>
        <w:t>ITS</w:t>
      </w:r>
      <w:r w:rsidR="002F3310" w:rsidRPr="003241F7">
        <w:rPr>
          <w:noProof/>
        </w:rPr>
        <w:t xml:space="preserve"> </w:t>
      </w:r>
      <w:r w:rsidR="00271827" w:rsidRPr="003241F7">
        <w:rPr>
          <w:noProof/>
        </w:rPr>
        <w:t xml:space="preserve">services, but prescribed no obligations to relevant stakeholders </w:t>
      </w:r>
      <w:r w:rsidR="00771C2E" w:rsidRPr="003241F7">
        <w:rPr>
          <w:noProof/>
        </w:rPr>
        <w:t>for making th</w:t>
      </w:r>
      <w:r w:rsidR="002F3310">
        <w:rPr>
          <w:noProof/>
        </w:rPr>
        <w:t>at</w:t>
      </w:r>
      <w:r w:rsidR="00771C2E" w:rsidRPr="003241F7">
        <w:rPr>
          <w:noProof/>
        </w:rPr>
        <w:t xml:space="preserve"> data available </w:t>
      </w:r>
      <w:r w:rsidR="00271827" w:rsidRPr="003241F7">
        <w:rPr>
          <w:noProof/>
        </w:rPr>
        <w:t xml:space="preserve">or for deploying specific services. </w:t>
      </w:r>
      <w:r w:rsidR="002F3310">
        <w:rPr>
          <w:noProof/>
        </w:rPr>
        <w:t>The use of a</w:t>
      </w:r>
      <w:r w:rsidR="002F3310" w:rsidRPr="003241F7">
        <w:rPr>
          <w:noProof/>
        </w:rPr>
        <w:t xml:space="preserve"> </w:t>
      </w:r>
      <w:r w:rsidR="00271827" w:rsidRPr="003241F7">
        <w:rPr>
          <w:noProof/>
        </w:rPr>
        <w:t>number of essential ITS services</w:t>
      </w:r>
      <w:r w:rsidR="007A2FB5">
        <w:rPr>
          <w:noProof/>
        </w:rPr>
        <w:t xml:space="preserve"> </w:t>
      </w:r>
      <w:r w:rsidR="007A2FB5" w:rsidRPr="003241F7">
        <w:rPr>
          <w:noProof/>
        </w:rPr>
        <w:t>ha</w:t>
      </w:r>
      <w:r w:rsidR="007A2FB5">
        <w:rPr>
          <w:noProof/>
        </w:rPr>
        <w:t>s</w:t>
      </w:r>
      <w:r w:rsidR="007A2FB5" w:rsidRPr="003241F7">
        <w:rPr>
          <w:noProof/>
        </w:rPr>
        <w:t xml:space="preserve"> become widespread</w:t>
      </w:r>
      <w:r w:rsidR="007A2FB5">
        <w:rPr>
          <w:noProof/>
        </w:rPr>
        <w:t>:</w:t>
      </w:r>
      <w:r w:rsidR="00271827" w:rsidRPr="003241F7">
        <w:rPr>
          <w:noProof/>
        </w:rPr>
        <w:t xml:space="preserve"> </w:t>
      </w:r>
      <w:r w:rsidR="002F3310">
        <w:rPr>
          <w:noProof/>
        </w:rPr>
        <w:t>for instance</w:t>
      </w:r>
      <w:r w:rsidR="00271827" w:rsidRPr="003241F7">
        <w:rPr>
          <w:noProof/>
        </w:rPr>
        <w:t xml:space="preserve"> incident detection </w:t>
      </w:r>
      <w:r w:rsidR="006F3AB1">
        <w:rPr>
          <w:noProof/>
        </w:rPr>
        <w:t>enabling</w:t>
      </w:r>
      <w:r w:rsidR="006F3AB1" w:rsidRPr="003241F7">
        <w:rPr>
          <w:noProof/>
        </w:rPr>
        <w:t xml:space="preserve"> </w:t>
      </w:r>
      <w:r w:rsidR="00271827" w:rsidRPr="003241F7">
        <w:rPr>
          <w:noProof/>
        </w:rPr>
        <w:t>road safety-related traffic information services</w:t>
      </w:r>
      <w:r w:rsidR="002F3310">
        <w:rPr>
          <w:noProof/>
        </w:rPr>
        <w:t>,</w:t>
      </w:r>
      <w:r w:rsidR="00271827" w:rsidRPr="003241F7">
        <w:rPr>
          <w:noProof/>
        </w:rPr>
        <w:t xml:space="preserve"> or crucial data</w:t>
      </w:r>
      <w:r w:rsidR="002F3310">
        <w:rPr>
          <w:noProof/>
        </w:rPr>
        <w:t>, for instance</w:t>
      </w:r>
      <w:r w:rsidR="00271827" w:rsidRPr="003241F7">
        <w:rPr>
          <w:noProof/>
        </w:rPr>
        <w:t xml:space="preserve"> traffic regulations</w:t>
      </w:r>
      <w:r w:rsidR="002F3310">
        <w:rPr>
          <w:noProof/>
        </w:rPr>
        <w:t>,</w:t>
      </w:r>
      <w:r w:rsidR="00271827" w:rsidRPr="003241F7">
        <w:rPr>
          <w:noProof/>
        </w:rPr>
        <w:t xml:space="preserve"> that support important services</w:t>
      </w:r>
      <w:r w:rsidR="002F3310" w:rsidRPr="002F3310">
        <w:rPr>
          <w:noProof/>
        </w:rPr>
        <w:t xml:space="preserve"> such as</w:t>
      </w:r>
      <w:r w:rsidR="00271827" w:rsidRPr="003241F7">
        <w:rPr>
          <w:noProof/>
        </w:rPr>
        <w:t xml:space="preserve"> speed limits to support vehicles equipped with intelligent speed assistance </w:t>
      </w:r>
      <w:r w:rsidR="006F3AB1">
        <w:rPr>
          <w:noProof/>
        </w:rPr>
        <w:t>under</w:t>
      </w:r>
      <w:r w:rsidR="00DD7C48" w:rsidRPr="003241F7">
        <w:rPr>
          <w:noProof/>
        </w:rPr>
        <w:t xml:space="preserve"> Regulation (EU) 2019/2144</w:t>
      </w:r>
      <w:r w:rsidR="002F3310" w:rsidRPr="002F3310">
        <w:rPr>
          <w:noProof/>
        </w:rPr>
        <w:t xml:space="preserve"> </w:t>
      </w:r>
      <w:r w:rsidR="002F3310" w:rsidRPr="006D7A66">
        <w:rPr>
          <w:noProof/>
        </w:rPr>
        <w:t>of the European Parliament and of the Council</w:t>
      </w:r>
      <w:r w:rsidR="00DD7C48" w:rsidRPr="002F1BA7">
        <w:rPr>
          <w:rStyle w:val="FootnoteReference"/>
          <w:noProof/>
        </w:rPr>
        <w:footnoteReference w:id="47"/>
      </w:r>
      <w:r w:rsidR="00271827" w:rsidRPr="003241F7">
        <w:rPr>
          <w:noProof/>
        </w:rPr>
        <w:t xml:space="preserve">. The mandatory provision </w:t>
      </w:r>
      <w:r w:rsidR="00BF4477">
        <w:rPr>
          <w:noProof/>
        </w:rPr>
        <w:t xml:space="preserve">of such essential ITS services and crucial data </w:t>
      </w:r>
      <w:r w:rsidR="00271827" w:rsidRPr="003241F7">
        <w:rPr>
          <w:noProof/>
        </w:rPr>
        <w:t xml:space="preserve">is considered necessary </w:t>
      </w:r>
      <w:r w:rsidR="00BF4477">
        <w:rPr>
          <w:noProof/>
        </w:rPr>
        <w:t>to</w:t>
      </w:r>
      <w:r w:rsidR="00271827" w:rsidRPr="003241F7">
        <w:rPr>
          <w:noProof/>
        </w:rPr>
        <w:t xml:space="preserve"> ensure both continu</w:t>
      </w:r>
      <w:r w:rsidR="00BF4477">
        <w:rPr>
          <w:noProof/>
        </w:rPr>
        <w:t>ed</w:t>
      </w:r>
      <w:r w:rsidR="00271827" w:rsidRPr="003241F7">
        <w:rPr>
          <w:noProof/>
        </w:rPr>
        <w:t xml:space="preserve"> availability of such data and continu</w:t>
      </w:r>
      <w:r w:rsidR="00BF4477">
        <w:rPr>
          <w:noProof/>
        </w:rPr>
        <w:t>ed</w:t>
      </w:r>
      <w:r w:rsidR="005D4063">
        <w:rPr>
          <w:noProof/>
        </w:rPr>
        <w:t xml:space="preserve"> </w:t>
      </w:r>
      <w:r w:rsidR="00271827" w:rsidRPr="003241F7">
        <w:rPr>
          <w:noProof/>
        </w:rPr>
        <w:t>delivery of such services across the U</w:t>
      </w:r>
      <w:r w:rsidR="00BF4477">
        <w:rPr>
          <w:noProof/>
        </w:rPr>
        <w:t>nion</w:t>
      </w:r>
      <w:r w:rsidR="00271827" w:rsidRPr="003241F7">
        <w:rPr>
          <w:noProof/>
        </w:rPr>
        <w:t xml:space="preserve">. </w:t>
      </w:r>
      <w:r w:rsidR="0016155D">
        <w:rPr>
          <w:noProof/>
        </w:rPr>
        <w:t>D</w:t>
      </w:r>
      <w:r w:rsidR="00271827" w:rsidRPr="003241F7">
        <w:rPr>
          <w:noProof/>
        </w:rPr>
        <w:t>ata types and services</w:t>
      </w:r>
      <w:r w:rsidR="0016155D">
        <w:rPr>
          <w:noProof/>
        </w:rPr>
        <w:t>, the provision of which should be made mandatory,</w:t>
      </w:r>
      <w:r w:rsidR="00271827" w:rsidRPr="003241F7">
        <w:rPr>
          <w:noProof/>
        </w:rPr>
        <w:t xml:space="preserve"> </w:t>
      </w:r>
      <w:r w:rsidR="0016155D">
        <w:rPr>
          <w:noProof/>
        </w:rPr>
        <w:t>should be</w:t>
      </w:r>
      <w:r w:rsidR="00271827" w:rsidRPr="003241F7">
        <w:rPr>
          <w:noProof/>
        </w:rPr>
        <w:t xml:space="preserve"> </w:t>
      </w:r>
      <w:r w:rsidR="0069502F">
        <w:rPr>
          <w:noProof/>
        </w:rPr>
        <w:t xml:space="preserve">identified based on </w:t>
      </w:r>
      <w:r w:rsidR="00271827" w:rsidRPr="003241F7">
        <w:rPr>
          <w:noProof/>
        </w:rPr>
        <w:t xml:space="preserve">the specifications </w:t>
      </w:r>
      <w:r w:rsidR="0016155D">
        <w:rPr>
          <w:noProof/>
        </w:rPr>
        <w:t xml:space="preserve">set out in delegated acts </w:t>
      </w:r>
      <w:r w:rsidR="00271827" w:rsidRPr="003241F7">
        <w:rPr>
          <w:noProof/>
        </w:rPr>
        <w:t>supplement</w:t>
      </w:r>
      <w:r w:rsidR="0016155D">
        <w:rPr>
          <w:noProof/>
        </w:rPr>
        <w:t>ing</w:t>
      </w:r>
      <w:r w:rsidR="00271827" w:rsidRPr="003241F7">
        <w:rPr>
          <w:noProof/>
        </w:rPr>
        <w:t xml:space="preserve"> Directive </w:t>
      </w:r>
      <w:r w:rsidR="0016155D" w:rsidRPr="00433D87">
        <w:rPr>
          <w:noProof/>
        </w:rPr>
        <w:t xml:space="preserve">2010/40/EU </w:t>
      </w:r>
      <w:r w:rsidR="0069502F">
        <w:rPr>
          <w:noProof/>
        </w:rPr>
        <w:t xml:space="preserve">and reflect </w:t>
      </w:r>
      <w:r w:rsidR="0069502F" w:rsidRPr="003241F7">
        <w:rPr>
          <w:noProof/>
        </w:rPr>
        <w:t>the data types and services</w:t>
      </w:r>
      <w:r w:rsidR="0069502F" w:rsidRPr="00433D87">
        <w:rPr>
          <w:noProof/>
        </w:rPr>
        <w:t xml:space="preserve"> </w:t>
      </w:r>
      <w:r w:rsidR="0069502F">
        <w:rPr>
          <w:noProof/>
        </w:rPr>
        <w:t>set therein</w:t>
      </w:r>
      <w:r w:rsidR="00271827" w:rsidRPr="003241F7">
        <w:rPr>
          <w:noProof/>
        </w:rPr>
        <w:t>.</w:t>
      </w:r>
    </w:p>
    <w:p w14:paraId="1348CEDA" w14:textId="01CA3045" w:rsidR="002A644D" w:rsidRPr="003241F7" w:rsidRDefault="00E01660" w:rsidP="00E01660">
      <w:pPr>
        <w:pStyle w:val="ManualConsidrant"/>
        <w:rPr>
          <w:noProof/>
        </w:rPr>
      </w:pPr>
      <w:r w:rsidRPr="00E01660">
        <w:t>(13)</w:t>
      </w:r>
      <w:r w:rsidRPr="00E01660">
        <w:tab/>
      </w:r>
      <w:r w:rsidR="00EA3237">
        <w:rPr>
          <w:noProof/>
        </w:rPr>
        <w:t>T</w:t>
      </w:r>
      <w:r w:rsidR="00EA3237" w:rsidRPr="003241F7">
        <w:rPr>
          <w:noProof/>
        </w:rPr>
        <w:t>he 2020 study “Mapping accessible transport for persons with reduced mobility”</w:t>
      </w:r>
      <w:r w:rsidR="00EA3237" w:rsidRPr="001971B7">
        <w:rPr>
          <w:rStyle w:val="FootnoteReference"/>
          <w:noProof/>
        </w:rPr>
        <w:footnoteReference w:id="48"/>
      </w:r>
      <w:r w:rsidR="00EA3237" w:rsidRPr="003241F7">
        <w:rPr>
          <w:noProof/>
        </w:rPr>
        <w:t xml:space="preserve"> shows </w:t>
      </w:r>
      <w:r w:rsidR="00EA3237">
        <w:rPr>
          <w:noProof/>
        </w:rPr>
        <w:t xml:space="preserve">that </w:t>
      </w:r>
      <w:r w:rsidR="00EA3237" w:rsidRPr="003241F7">
        <w:rPr>
          <w:noProof/>
        </w:rPr>
        <w:t>the lack of sufficient dat</w:t>
      </w:r>
      <w:r w:rsidR="00EA3237">
        <w:rPr>
          <w:noProof/>
        </w:rPr>
        <w:t>a concerning</w:t>
      </w:r>
      <w:r w:rsidR="00EA3237" w:rsidRPr="003241F7">
        <w:rPr>
          <w:noProof/>
        </w:rPr>
        <w:t xml:space="preserve"> accessibility features currently prevents reliable journey planning w</w:t>
      </w:r>
      <w:r w:rsidR="00EA3237">
        <w:rPr>
          <w:noProof/>
        </w:rPr>
        <w:t xml:space="preserve">hen using accessibility aspects </w:t>
      </w:r>
      <w:r w:rsidR="00EA3237" w:rsidRPr="003241F7">
        <w:rPr>
          <w:noProof/>
        </w:rPr>
        <w:t>as search variables.</w:t>
      </w:r>
      <w:r w:rsidR="00EA3237">
        <w:rPr>
          <w:noProof/>
        </w:rPr>
        <w:t xml:space="preserve"> </w:t>
      </w:r>
      <w:r w:rsidR="002A644D" w:rsidRPr="003241F7">
        <w:rPr>
          <w:noProof/>
        </w:rPr>
        <w:t xml:space="preserve">To further enhance the accessibility of the transport system and facilitate travel for </w:t>
      </w:r>
      <w:r w:rsidR="00EA3237">
        <w:rPr>
          <w:noProof/>
        </w:rPr>
        <w:t>people</w:t>
      </w:r>
      <w:r w:rsidR="00EA3237" w:rsidRPr="003241F7">
        <w:rPr>
          <w:noProof/>
        </w:rPr>
        <w:t xml:space="preserve"> </w:t>
      </w:r>
      <w:r w:rsidR="002A644D" w:rsidRPr="003241F7">
        <w:rPr>
          <w:noProof/>
        </w:rPr>
        <w:t xml:space="preserve">with disabilities and </w:t>
      </w:r>
      <w:r w:rsidR="00EA3237">
        <w:rPr>
          <w:noProof/>
        </w:rPr>
        <w:t>people</w:t>
      </w:r>
      <w:r w:rsidR="00EA3237" w:rsidRPr="003241F7">
        <w:rPr>
          <w:noProof/>
        </w:rPr>
        <w:t xml:space="preserve"> </w:t>
      </w:r>
      <w:r w:rsidR="002A644D" w:rsidRPr="003241F7">
        <w:rPr>
          <w:noProof/>
        </w:rPr>
        <w:t xml:space="preserve">with reduced mobility, multimodal digital mobility services require the availability of data </w:t>
      </w:r>
      <w:r w:rsidR="00EA3237">
        <w:rPr>
          <w:noProof/>
        </w:rPr>
        <w:t>on</w:t>
      </w:r>
      <w:r w:rsidR="00EA3237" w:rsidRPr="003241F7">
        <w:rPr>
          <w:noProof/>
        </w:rPr>
        <w:t xml:space="preserve"> </w:t>
      </w:r>
      <w:r w:rsidR="002A644D" w:rsidRPr="003241F7">
        <w:rPr>
          <w:noProof/>
        </w:rPr>
        <w:t xml:space="preserve">access nodes and their accessibility features. </w:t>
      </w:r>
    </w:p>
    <w:p w14:paraId="0F01FDE8" w14:textId="4E8C9202" w:rsidR="007F09DA" w:rsidRDefault="00E01660" w:rsidP="00E01660">
      <w:pPr>
        <w:pStyle w:val="ManualConsidrant"/>
        <w:rPr>
          <w:noProof/>
        </w:rPr>
      </w:pPr>
      <w:r w:rsidRPr="00E01660">
        <w:t>(14)</w:t>
      </w:r>
      <w:r w:rsidRPr="00E01660">
        <w:tab/>
      </w:r>
      <w:r w:rsidR="007F09DA" w:rsidRPr="007F09DA">
        <w:rPr>
          <w:noProof/>
        </w:rPr>
        <w:t xml:space="preserve">The increased integration of ITS and advanced driver assistance systems, or vehicle and infrastructure systems in general, implies that such systems will </w:t>
      </w:r>
      <w:r w:rsidR="00C56501" w:rsidRPr="007F09DA">
        <w:rPr>
          <w:noProof/>
        </w:rPr>
        <w:t xml:space="preserve">rely </w:t>
      </w:r>
      <w:r w:rsidR="007F09DA" w:rsidRPr="007F09DA">
        <w:rPr>
          <w:noProof/>
        </w:rPr>
        <w:t>more and more on the information they supply to each other. Th</w:t>
      </w:r>
      <w:r w:rsidR="00503990">
        <w:rPr>
          <w:noProof/>
        </w:rPr>
        <w:t>at</w:t>
      </w:r>
      <w:r w:rsidR="007F09DA" w:rsidRPr="007F09DA">
        <w:rPr>
          <w:noProof/>
        </w:rPr>
        <w:t xml:space="preserve"> is particularly the case for C-ITS</w:t>
      </w:r>
      <w:r w:rsidR="00C56501">
        <w:rPr>
          <w:noProof/>
        </w:rPr>
        <w:t>.</w:t>
      </w:r>
      <w:r w:rsidR="007F09DA" w:rsidRPr="007F09DA">
        <w:rPr>
          <w:noProof/>
        </w:rPr>
        <w:t xml:space="preserve"> </w:t>
      </w:r>
      <w:r w:rsidR="00C56501">
        <w:rPr>
          <w:noProof/>
        </w:rPr>
        <w:t>S</w:t>
      </w:r>
      <w:r w:rsidR="00503990">
        <w:rPr>
          <w:noProof/>
        </w:rPr>
        <w:t xml:space="preserve">uch reliance will increase </w:t>
      </w:r>
      <w:r w:rsidR="007F09DA" w:rsidRPr="007F09DA">
        <w:rPr>
          <w:noProof/>
        </w:rPr>
        <w:t>with higher levels of automation</w:t>
      </w:r>
      <w:r w:rsidR="00503990">
        <w:rPr>
          <w:noProof/>
        </w:rPr>
        <w:t>. These higher levels of automation are</w:t>
      </w:r>
      <w:r w:rsidR="007F09DA" w:rsidRPr="007F09DA">
        <w:rPr>
          <w:noProof/>
        </w:rPr>
        <w:t xml:space="preserve"> expected to make use of communication between vehicles and infrastructure to orchestrate manoeuvres and smoothen traffic flows</w:t>
      </w:r>
      <w:r w:rsidR="004F2914">
        <w:rPr>
          <w:noProof/>
        </w:rPr>
        <w:t xml:space="preserve">, </w:t>
      </w:r>
      <w:r w:rsidR="004F2914" w:rsidRPr="004F2914">
        <w:rPr>
          <w:noProof/>
        </w:rPr>
        <w:t xml:space="preserve">contributing also to more sustainable </w:t>
      </w:r>
      <w:r w:rsidR="00A411F8">
        <w:rPr>
          <w:noProof/>
        </w:rPr>
        <w:t>transport</w:t>
      </w:r>
      <w:r w:rsidR="007F09DA" w:rsidRPr="007F09DA">
        <w:rPr>
          <w:noProof/>
        </w:rPr>
        <w:t xml:space="preserve">. </w:t>
      </w:r>
      <w:r w:rsidR="00C56501">
        <w:rPr>
          <w:noProof/>
        </w:rPr>
        <w:t>C</w:t>
      </w:r>
      <w:r w:rsidR="007F09DA" w:rsidRPr="007F09DA">
        <w:rPr>
          <w:noProof/>
        </w:rPr>
        <w:t>ompromis</w:t>
      </w:r>
      <w:r w:rsidR="00C56501">
        <w:rPr>
          <w:noProof/>
        </w:rPr>
        <w:t>ing</w:t>
      </w:r>
      <w:r w:rsidR="007F09DA" w:rsidRPr="007F09DA">
        <w:rPr>
          <w:noProof/>
        </w:rPr>
        <w:t xml:space="preserve"> </w:t>
      </w:r>
      <w:r w:rsidR="00C56501">
        <w:rPr>
          <w:noProof/>
        </w:rPr>
        <w:t xml:space="preserve">the </w:t>
      </w:r>
      <w:r w:rsidR="007F09DA" w:rsidRPr="007F09DA">
        <w:rPr>
          <w:noProof/>
        </w:rPr>
        <w:t xml:space="preserve">integrity of ITS services could thus have a severe impact on road safety, for example when the wrong speed limit is communicated or a vehicle makes an emergency stop </w:t>
      </w:r>
      <w:r w:rsidR="00503990">
        <w:rPr>
          <w:noProof/>
        </w:rPr>
        <w:t>due to</w:t>
      </w:r>
      <w:r w:rsidR="00503990" w:rsidRPr="007F09DA">
        <w:rPr>
          <w:noProof/>
        </w:rPr>
        <w:t xml:space="preserve"> </w:t>
      </w:r>
      <w:r w:rsidR="007F09DA" w:rsidRPr="007F09DA">
        <w:rPr>
          <w:noProof/>
        </w:rPr>
        <w:t>a non-existing danger.</w:t>
      </w:r>
      <w:r w:rsidR="000D0E7B" w:rsidRPr="000D0E7B">
        <w:rPr>
          <w:noProof/>
        </w:rPr>
        <w:t xml:space="preserve"> In order to ensure uniform conditions for the implementation of this Directive, implementing powers should be conferred on the Commission </w:t>
      </w:r>
      <w:r w:rsidR="000D0E7B">
        <w:rPr>
          <w:noProof/>
        </w:rPr>
        <w:t>i</w:t>
      </w:r>
      <w:r w:rsidR="007F09DA" w:rsidRPr="007F09DA">
        <w:rPr>
          <w:noProof/>
        </w:rPr>
        <w:t>n emergency situation</w:t>
      </w:r>
      <w:r w:rsidR="00C56501">
        <w:rPr>
          <w:noProof/>
        </w:rPr>
        <w:t>s where the integrity of ITS services is compromised, to adopt</w:t>
      </w:r>
      <w:r w:rsidR="007F09DA" w:rsidRPr="007F09DA">
        <w:rPr>
          <w:noProof/>
        </w:rPr>
        <w:t xml:space="preserve"> countermeasures to address the causes and</w:t>
      </w:r>
      <w:r w:rsidR="00503990">
        <w:rPr>
          <w:noProof/>
        </w:rPr>
        <w:t xml:space="preserve"> the</w:t>
      </w:r>
      <w:r w:rsidR="007F09DA" w:rsidRPr="007F09DA">
        <w:rPr>
          <w:noProof/>
        </w:rPr>
        <w:t xml:space="preserve"> consequences of that situation</w:t>
      </w:r>
      <w:r w:rsidR="00C56501">
        <w:rPr>
          <w:noProof/>
        </w:rPr>
        <w:t>. Those measures</w:t>
      </w:r>
      <w:r w:rsidR="00C56501" w:rsidRPr="007F09DA">
        <w:rPr>
          <w:noProof/>
        </w:rPr>
        <w:t xml:space="preserve"> </w:t>
      </w:r>
      <w:r w:rsidR="00503990">
        <w:rPr>
          <w:noProof/>
        </w:rPr>
        <w:t>sh</w:t>
      </w:r>
      <w:r w:rsidR="007F09DA" w:rsidRPr="007F09DA">
        <w:rPr>
          <w:noProof/>
        </w:rPr>
        <w:t xml:space="preserve">ould be </w:t>
      </w:r>
      <w:r w:rsidR="00503990">
        <w:rPr>
          <w:noProof/>
        </w:rPr>
        <w:t>taken</w:t>
      </w:r>
      <w:r w:rsidR="00503990" w:rsidRPr="007F09DA">
        <w:rPr>
          <w:noProof/>
        </w:rPr>
        <w:t xml:space="preserve"> </w:t>
      </w:r>
      <w:r w:rsidR="007F09DA" w:rsidRPr="007F09DA">
        <w:rPr>
          <w:noProof/>
        </w:rPr>
        <w:t>as quickly as possible</w:t>
      </w:r>
      <w:r w:rsidR="00C56501" w:rsidRPr="00C56501">
        <w:rPr>
          <w:noProof/>
        </w:rPr>
        <w:t xml:space="preserve"> </w:t>
      </w:r>
      <w:r w:rsidR="00C56501">
        <w:rPr>
          <w:noProof/>
        </w:rPr>
        <w:t>and be immediately applicable</w:t>
      </w:r>
      <w:r w:rsidR="00C56501" w:rsidRPr="007F09DA">
        <w:rPr>
          <w:noProof/>
        </w:rPr>
        <w:t xml:space="preserve">. </w:t>
      </w:r>
      <w:r w:rsidR="000D0E7B" w:rsidRPr="000D0E7B">
        <w:rPr>
          <w:noProof/>
        </w:rPr>
        <w:t>Those powers should be</w:t>
      </w:r>
      <w:r w:rsidR="000D0E7B" w:rsidRPr="000D0E7B">
        <w:rPr>
          <w:iCs/>
          <w:noProof/>
        </w:rPr>
        <w:t xml:space="preserve"> exercised </w:t>
      </w:r>
      <w:r w:rsidR="000D0E7B" w:rsidRPr="000D0E7B">
        <w:rPr>
          <w:noProof/>
        </w:rPr>
        <w:t>in accordance with Regulation (EU) No 182/2011 of the European Parliament and of the Council</w:t>
      </w:r>
      <w:r w:rsidR="000D0E7B" w:rsidRPr="000D0E7B">
        <w:rPr>
          <w:rStyle w:val="FootnoteReference"/>
          <w:noProof/>
        </w:rPr>
        <w:footnoteReference w:id="49"/>
      </w:r>
      <w:r w:rsidR="000D0E7B" w:rsidRPr="000D0E7B">
        <w:rPr>
          <w:noProof/>
        </w:rPr>
        <w:t xml:space="preserve">. </w:t>
      </w:r>
      <w:r w:rsidR="00C56501">
        <w:rPr>
          <w:noProof/>
        </w:rPr>
        <w:t xml:space="preserve">In consideration of the need to ensure continuity of transport, it is appropriate to apply the prolongation of the validity of such measure beyond six months making use of the possibility provided </w:t>
      </w:r>
      <w:r w:rsidR="00C56501" w:rsidRPr="004573AE">
        <w:rPr>
          <w:noProof/>
        </w:rPr>
        <w:t>under</w:t>
      </w:r>
      <w:r w:rsidR="00C56501" w:rsidRPr="003E01B9">
        <w:rPr>
          <w:noProof/>
        </w:rPr>
        <w:t xml:space="preserve"> A</w:t>
      </w:r>
      <w:r w:rsidR="00C56501" w:rsidRPr="00401086">
        <w:rPr>
          <w:noProof/>
        </w:rPr>
        <w:t>rtic</w:t>
      </w:r>
      <w:r w:rsidR="00C56501" w:rsidRPr="00FD04CE">
        <w:rPr>
          <w:noProof/>
        </w:rPr>
        <w:t>le 8(2</w:t>
      </w:r>
      <w:r w:rsidR="00C56501" w:rsidRPr="000D6832">
        <w:rPr>
          <w:noProof/>
        </w:rPr>
        <w:t>)</w:t>
      </w:r>
      <w:r w:rsidR="00C56501">
        <w:rPr>
          <w:noProof/>
        </w:rPr>
        <w:t xml:space="preserve"> of </w:t>
      </w:r>
      <w:r w:rsidR="00C56501" w:rsidRPr="00366AC3">
        <w:rPr>
          <w:noProof/>
        </w:rPr>
        <w:t>Regulation (EU) No 182/2011</w:t>
      </w:r>
      <w:r w:rsidR="007F09DA" w:rsidRPr="007F09DA">
        <w:rPr>
          <w:noProof/>
        </w:rPr>
        <w:t xml:space="preserve">. Such countermeasures should end as soon as </w:t>
      </w:r>
      <w:r w:rsidR="00C56501">
        <w:rPr>
          <w:noProof/>
        </w:rPr>
        <w:t>an alternative</w:t>
      </w:r>
      <w:r w:rsidR="007F09DA" w:rsidRPr="007F09DA">
        <w:rPr>
          <w:noProof/>
        </w:rPr>
        <w:t xml:space="preserve"> solution is implemented or the emergency situation has been resolved</w:t>
      </w:r>
      <w:r w:rsidR="007F09DA">
        <w:rPr>
          <w:noProof/>
        </w:rPr>
        <w:t>.</w:t>
      </w:r>
    </w:p>
    <w:p w14:paraId="2181DB3C" w14:textId="7FE3504D" w:rsidR="004C025C" w:rsidRPr="003241F7" w:rsidRDefault="00E01660" w:rsidP="00E01660">
      <w:pPr>
        <w:pStyle w:val="ManualConsidrant"/>
        <w:rPr>
          <w:noProof/>
        </w:rPr>
      </w:pPr>
      <w:r w:rsidRPr="00E01660">
        <w:t>(15)</w:t>
      </w:r>
      <w:r w:rsidRPr="00E01660">
        <w:tab/>
      </w:r>
      <w:r w:rsidR="004C025C" w:rsidRPr="003241F7">
        <w:rPr>
          <w:noProof/>
        </w:rPr>
        <w:t>When the deployment and use of ITS applications and services entail the processing of personal data, such processing should be carried out accord</w:t>
      </w:r>
      <w:r w:rsidR="005A3A19">
        <w:rPr>
          <w:noProof/>
        </w:rPr>
        <w:t>ing to</w:t>
      </w:r>
      <w:r w:rsidR="004C025C" w:rsidRPr="003241F7">
        <w:rPr>
          <w:noProof/>
        </w:rPr>
        <w:t xml:space="preserve"> Union law on the protection of personal data and privacy, as set out, in particular, in Regulation (EU) 2016/679</w:t>
      </w:r>
      <w:r w:rsidR="008F5F5F" w:rsidRPr="003241F7">
        <w:rPr>
          <w:noProof/>
        </w:rPr>
        <w:t xml:space="preserve"> </w:t>
      </w:r>
      <w:r w:rsidR="004C025C" w:rsidRPr="003241F7">
        <w:rPr>
          <w:noProof/>
        </w:rPr>
        <w:t>of the Europea</w:t>
      </w:r>
      <w:r w:rsidR="008F5F5F" w:rsidRPr="003241F7">
        <w:rPr>
          <w:noProof/>
        </w:rPr>
        <w:t>n Parliament and of the Council</w:t>
      </w:r>
      <w:r w:rsidR="008F5F5F" w:rsidRPr="00CA5A0A">
        <w:rPr>
          <w:rStyle w:val="FootnoteReference"/>
          <w:noProof/>
        </w:rPr>
        <w:footnoteReference w:id="50"/>
      </w:r>
      <w:r w:rsidR="008F5F5F" w:rsidRPr="003241F7">
        <w:rPr>
          <w:noProof/>
        </w:rPr>
        <w:t xml:space="preserve"> </w:t>
      </w:r>
      <w:r w:rsidR="004C025C" w:rsidRPr="003241F7">
        <w:rPr>
          <w:noProof/>
        </w:rPr>
        <w:t>and in Directive 2002/58/EC of the Europea</w:t>
      </w:r>
      <w:r w:rsidR="00F650B0" w:rsidRPr="003241F7">
        <w:rPr>
          <w:noProof/>
        </w:rPr>
        <w:t>n Parliament and of the Council</w:t>
      </w:r>
      <w:r w:rsidR="00F650B0" w:rsidRPr="00CA5A0A">
        <w:rPr>
          <w:rStyle w:val="FootnoteReference"/>
          <w:noProof/>
        </w:rPr>
        <w:footnoteReference w:id="51"/>
      </w:r>
      <w:r w:rsidR="004C025C" w:rsidRPr="003241F7">
        <w:rPr>
          <w:noProof/>
        </w:rPr>
        <w:t xml:space="preserve">. </w:t>
      </w:r>
    </w:p>
    <w:p w14:paraId="0DC45EB2" w14:textId="591B1AE3" w:rsidR="005B424A" w:rsidRPr="003241F7" w:rsidRDefault="00E01660" w:rsidP="00E01660">
      <w:pPr>
        <w:pStyle w:val="ManualConsidrant"/>
        <w:rPr>
          <w:noProof/>
        </w:rPr>
      </w:pPr>
      <w:r w:rsidRPr="00E01660">
        <w:t>(16)</w:t>
      </w:r>
      <w:r w:rsidRPr="00E01660">
        <w:tab/>
      </w:r>
      <w:r w:rsidR="004D2438" w:rsidRPr="004D2438">
        <w:rPr>
          <w:noProof/>
        </w:rPr>
        <w:t xml:space="preserve">Where they involve the processing of personal data, the specifications to be developed under this Directive should take the requirements of Regulation (EU) 2016/679 and Directive 2002/58/EC into account. In particular, whenever it is possible to </w:t>
      </w:r>
      <w:r w:rsidR="00DC09C7">
        <w:rPr>
          <w:noProof/>
        </w:rPr>
        <w:t xml:space="preserve">equally </w:t>
      </w:r>
      <w:r w:rsidR="004D2438" w:rsidRPr="004D2438">
        <w:rPr>
          <w:noProof/>
        </w:rPr>
        <w:t>achieve the purposes pursued using</w:t>
      </w:r>
      <w:r w:rsidR="00DD1A08">
        <w:rPr>
          <w:noProof/>
        </w:rPr>
        <w:t xml:space="preserve"> anonymous</w:t>
      </w:r>
      <w:r w:rsidR="004D2438" w:rsidRPr="004D2438">
        <w:rPr>
          <w:noProof/>
        </w:rPr>
        <w:t xml:space="preserve"> </w:t>
      </w:r>
      <w:r w:rsidR="00DD1A08">
        <w:rPr>
          <w:noProof/>
        </w:rPr>
        <w:t xml:space="preserve">instead of personal </w:t>
      </w:r>
      <w:r w:rsidR="004D2438" w:rsidRPr="004D2438">
        <w:rPr>
          <w:noProof/>
        </w:rPr>
        <w:t>data, a</w:t>
      </w:r>
      <w:r w:rsidR="00B73375" w:rsidRPr="003241F7">
        <w:rPr>
          <w:noProof/>
        </w:rPr>
        <w:t xml:space="preserve">nonymisation as one of the </w:t>
      </w:r>
      <w:r w:rsidR="004D2438" w:rsidRPr="004D2438">
        <w:rPr>
          <w:noProof/>
        </w:rPr>
        <w:t>techniques for</w:t>
      </w:r>
      <w:r w:rsidR="00B73375" w:rsidRPr="003241F7">
        <w:rPr>
          <w:noProof/>
        </w:rPr>
        <w:t xml:space="preserve"> enhancing individuals</w:t>
      </w:r>
      <w:r w:rsidR="005A3A19">
        <w:rPr>
          <w:noProof/>
        </w:rPr>
        <w:t>’</w:t>
      </w:r>
      <w:r w:rsidR="00B73375" w:rsidRPr="003241F7">
        <w:rPr>
          <w:noProof/>
        </w:rPr>
        <w:t xml:space="preserve"> privacy should be encouraged</w:t>
      </w:r>
      <w:r w:rsidR="00511BD1" w:rsidRPr="003241F7">
        <w:rPr>
          <w:noProof/>
        </w:rPr>
        <w:t>, in line with the principle of data protection by design</w:t>
      </w:r>
      <w:r w:rsidR="00B73375" w:rsidRPr="003241F7">
        <w:rPr>
          <w:noProof/>
        </w:rPr>
        <w:t>.</w:t>
      </w:r>
    </w:p>
    <w:p w14:paraId="0B1368F2" w14:textId="3A33323D" w:rsidR="004D2438" w:rsidRPr="003241F7" w:rsidRDefault="00E01660" w:rsidP="00E01660">
      <w:pPr>
        <w:pStyle w:val="ManualConsidrant"/>
        <w:rPr>
          <w:noProof/>
        </w:rPr>
      </w:pPr>
      <w:r w:rsidRPr="00E01660">
        <w:t>(17)</w:t>
      </w:r>
      <w:r w:rsidRPr="00E01660">
        <w:tab/>
      </w:r>
      <w:r w:rsidR="004D2438">
        <w:rPr>
          <w:noProof/>
          <w:lang w:val="en-US"/>
        </w:rPr>
        <w:t xml:space="preserve">Directive 2001/95/EC </w:t>
      </w:r>
      <w:r w:rsidR="0020377A">
        <w:rPr>
          <w:noProof/>
        </w:rPr>
        <w:t xml:space="preserve">of the </w:t>
      </w:r>
      <w:r w:rsidR="0020377A">
        <w:rPr>
          <w:noProof/>
          <w:lang w:val="en-IE"/>
        </w:rPr>
        <w:t xml:space="preserve">European Parliament and of the Council </w:t>
      </w:r>
      <w:r w:rsidR="004D2438">
        <w:rPr>
          <w:noProof/>
          <w:lang w:val="en-US"/>
        </w:rPr>
        <w:t>on general product safety</w:t>
      </w:r>
      <w:r w:rsidR="0020377A">
        <w:rPr>
          <w:rStyle w:val="FootnoteReference"/>
          <w:noProof/>
          <w:lang w:val="en-US"/>
        </w:rPr>
        <w:footnoteReference w:id="52"/>
      </w:r>
      <w:r w:rsidR="004D2438">
        <w:rPr>
          <w:noProof/>
          <w:lang w:val="en-US"/>
        </w:rPr>
        <w:t xml:space="preserve"> applies to products for which sectorial legislation do</w:t>
      </w:r>
      <w:r w:rsidR="009B5515">
        <w:rPr>
          <w:noProof/>
          <w:lang w:val="en-US"/>
        </w:rPr>
        <w:t>es</w:t>
      </w:r>
      <w:r w:rsidR="004D2438">
        <w:rPr>
          <w:noProof/>
          <w:lang w:val="en-US"/>
        </w:rPr>
        <w:t xml:space="preserve"> not provide more specific provisions with the same safety objective, as well as where the safety requirements imposed by a sectorial legislation do not cover the aspects and risks or category of risks covered by the said Directive (the so called “safety net”).</w:t>
      </w:r>
      <w:r w:rsidR="0020377A">
        <w:rPr>
          <w:noProof/>
          <w:lang w:val="en-US"/>
        </w:rPr>
        <w:t xml:space="preserve"> </w:t>
      </w:r>
    </w:p>
    <w:p w14:paraId="69F25F4A" w14:textId="1CD88A02" w:rsidR="00B70A29" w:rsidRDefault="00E01660" w:rsidP="00E01660">
      <w:pPr>
        <w:pStyle w:val="ManualConsidrant"/>
        <w:rPr>
          <w:noProof/>
        </w:rPr>
      </w:pPr>
      <w:r w:rsidRPr="00E01660">
        <w:t>(18)</w:t>
      </w:r>
      <w:r w:rsidRPr="00E01660">
        <w:tab/>
      </w:r>
      <w:r w:rsidR="00B70A29" w:rsidRPr="003241F7">
        <w:rPr>
          <w:noProof/>
        </w:rPr>
        <w:t>Whe</w:t>
      </w:r>
      <w:r w:rsidR="00242826" w:rsidRPr="00242826">
        <w:rPr>
          <w:noProof/>
        </w:rPr>
        <w:t>re it is necessary to carry out a conformity</w:t>
      </w:r>
      <w:r w:rsidR="00B70A29" w:rsidRPr="003241F7">
        <w:rPr>
          <w:noProof/>
        </w:rPr>
        <w:t xml:space="preserve"> assessment, the specifications should include detailed provisions laying down the procedure governing assessment of conformity or suitability for use of constituents. </w:t>
      </w:r>
      <w:r w:rsidR="00931BC2" w:rsidRPr="00931BC2">
        <w:rPr>
          <w:noProof/>
        </w:rPr>
        <w:t>With respect to certain ITS</w:t>
      </w:r>
      <w:r w:rsidR="00931BC2">
        <w:rPr>
          <w:noProof/>
        </w:rPr>
        <w:t xml:space="preserve"> services</w:t>
      </w:r>
      <w:r w:rsidR="00931BC2" w:rsidRPr="00931BC2">
        <w:rPr>
          <w:noProof/>
        </w:rPr>
        <w:t>, and in particular with respect to C-ITS</w:t>
      </w:r>
      <w:r w:rsidR="00931BC2">
        <w:rPr>
          <w:noProof/>
        </w:rPr>
        <w:t xml:space="preserve"> services</w:t>
      </w:r>
      <w:r w:rsidR="00931BC2" w:rsidRPr="00931BC2">
        <w:rPr>
          <w:noProof/>
        </w:rPr>
        <w:t xml:space="preserve">, continuous compliance with certain requirements and interoperability are essential to ensure safety and proper functioning of the system. Therefore, where necessary, specifications that lay down requirements for products should also lay down procedures related to market surveillance, including a safeguard clause. </w:t>
      </w:r>
      <w:r w:rsidR="00B70A29" w:rsidRPr="003241F7">
        <w:rPr>
          <w:noProof/>
        </w:rPr>
        <w:t>Those provisions should be based on Decision No 768/2008/EC of the European Parliament and of the Council</w:t>
      </w:r>
      <w:r w:rsidR="00B70A29" w:rsidRPr="005B19D1">
        <w:rPr>
          <w:rStyle w:val="FootnoteReference"/>
          <w:noProof/>
        </w:rPr>
        <w:footnoteReference w:id="53"/>
      </w:r>
      <w:r w:rsidR="00B70A29" w:rsidRPr="003241F7">
        <w:rPr>
          <w:noProof/>
        </w:rPr>
        <w:t xml:space="preserve">, in particular concerning the modules for the various phases of the conformity assessment </w:t>
      </w:r>
      <w:r w:rsidR="00931BC2">
        <w:rPr>
          <w:noProof/>
        </w:rPr>
        <w:t xml:space="preserve">and market surveillance </w:t>
      </w:r>
      <w:r w:rsidR="00B70A29" w:rsidRPr="003241F7">
        <w:rPr>
          <w:noProof/>
        </w:rPr>
        <w:t>procedures. Regulation (EU) 2018/858 of the European</w:t>
      </w:r>
      <w:r w:rsidR="00A540F8" w:rsidRPr="003241F7">
        <w:rPr>
          <w:noProof/>
        </w:rPr>
        <w:t xml:space="preserve"> Parliament and of the Council</w:t>
      </w:r>
      <w:r w:rsidR="00A540F8" w:rsidRPr="005B19D1">
        <w:rPr>
          <w:rStyle w:val="FootnoteReference"/>
          <w:noProof/>
        </w:rPr>
        <w:footnoteReference w:id="54"/>
      </w:r>
      <w:r w:rsidR="00A540F8" w:rsidRPr="003241F7">
        <w:rPr>
          <w:noProof/>
        </w:rPr>
        <w:t xml:space="preserve"> </w:t>
      </w:r>
      <w:r w:rsidR="00B301A7" w:rsidRPr="00B301A7">
        <w:rPr>
          <w:noProof/>
        </w:rPr>
        <w:t xml:space="preserve">lays down </w:t>
      </w:r>
      <w:r w:rsidR="00B70A29" w:rsidRPr="003241F7">
        <w:rPr>
          <w:noProof/>
        </w:rPr>
        <w:t>a framework for the type approval and market surveillance of motor vehicles and their parts or related equipment, and Regulation</w:t>
      </w:r>
      <w:r w:rsidR="00E66260" w:rsidRPr="003241F7">
        <w:rPr>
          <w:noProof/>
        </w:rPr>
        <w:t>s</w:t>
      </w:r>
      <w:r w:rsidR="00B70A29" w:rsidRPr="003241F7">
        <w:rPr>
          <w:noProof/>
        </w:rPr>
        <w:t xml:space="preserve"> </w:t>
      </w:r>
      <w:r w:rsidR="00C137CE" w:rsidRPr="003241F7">
        <w:rPr>
          <w:noProof/>
        </w:rPr>
        <w:t>(EU) No 167/2013</w:t>
      </w:r>
      <w:r w:rsidR="00C137CE" w:rsidRPr="005B19D1">
        <w:rPr>
          <w:rStyle w:val="FootnoteReference"/>
          <w:noProof/>
        </w:rPr>
        <w:footnoteReference w:id="55"/>
      </w:r>
      <w:r w:rsidR="00C137CE" w:rsidRPr="003241F7">
        <w:rPr>
          <w:noProof/>
        </w:rPr>
        <w:t xml:space="preserve"> </w:t>
      </w:r>
      <w:r w:rsidR="00C137CE">
        <w:rPr>
          <w:noProof/>
        </w:rPr>
        <w:t xml:space="preserve">and </w:t>
      </w:r>
      <w:r w:rsidR="00B70A29" w:rsidRPr="003241F7">
        <w:rPr>
          <w:noProof/>
        </w:rPr>
        <w:t>(EU) No 168/2013</w:t>
      </w:r>
      <w:r w:rsidR="00DB7A0C" w:rsidRPr="005B19D1">
        <w:rPr>
          <w:rStyle w:val="FootnoteReference"/>
          <w:noProof/>
        </w:rPr>
        <w:footnoteReference w:id="56"/>
      </w:r>
      <w:r w:rsidR="00DB7A0C" w:rsidRPr="003241F7">
        <w:rPr>
          <w:noProof/>
        </w:rPr>
        <w:t xml:space="preserve"> </w:t>
      </w:r>
      <w:r w:rsidR="00C137CE" w:rsidRPr="00537371">
        <w:rPr>
          <w:noProof/>
        </w:rPr>
        <w:t>of the European Parliament and of the Council</w:t>
      </w:r>
      <w:r w:rsidR="00C137CE" w:rsidRPr="003241F7" w:rsidDel="00C137CE">
        <w:rPr>
          <w:noProof/>
        </w:rPr>
        <w:t xml:space="preserve"> </w:t>
      </w:r>
      <w:r w:rsidR="00B70A29" w:rsidRPr="003241F7">
        <w:rPr>
          <w:noProof/>
        </w:rPr>
        <w:t xml:space="preserve">lay down rules on the type approval of two- or three-wheel vehicles and quadricycles, and agricultural or forestry vehicles and their parts or related equipment. Therefore, it would be a duplication of work to provide for conformity assessment of equipment and applications falling within the scope of those legislative acts. However, those legislative acts </w:t>
      </w:r>
      <w:r w:rsidR="00401929" w:rsidRPr="00401929">
        <w:rPr>
          <w:noProof/>
        </w:rPr>
        <w:t xml:space="preserve">on vehicle approval </w:t>
      </w:r>
      <w:r w:rsidR="00B70A29" w:rsidRPr="003241F7">
        <w:rPr>
          <w:noProof/>
        </w:rPr>
        <w:t xml:space="preserve">apply to ITS-related equipment installed in vehicles, </w:t>
      </w:r>
      <w:r w:rsidR="00E66260" w:rsidRPr="003241F7">
        <w:rPr>
          <w:noProof/>
        </w:rPr>
        <w:t>but</w:t>
      </w:r>
      <w:r w:rsidR="00B70A29" w:rsidRPr="003241F7">
        <w:rPr>
          <w:noProof/>
        </w:rPr>
        <w:t xml:space="preserve"> not to external road infrastructure ITS equipment and software</w:t>
      </w:r>
      <w:r w:rsidR="00401929">
        <w:rPr>
          <w:noProof/>
        </w:rPr>
        <w:t xml:space="preserve"> </w:t>
      </w:r>
      <w:r w:rsidR="00401929" w:rsidRPr="00401929">
        <w:rPr>
          <w:noProof/>
        </w:rPr>
        <w:t>which shoul</w:t>
      </w:r>
      <w:r w:rsidR="00401929">
        <w:rPr>
          <w:noProof/>
        </w:rPr>
        <w:t>d fall under the remit of this D</w:t>
      </w:r>
      <w:r w:rsidR="00401929" w:rsidRPr="00401929">
        <w:rPr>
          <w:noProof/>
        </w:rPr>
        <w:t>irective</w:t>
      </w:r>
      <w:r w:rsidR="00B70A29" w:rsidRPr="003241F7">
        <w:rPr>
          <w:noProof/>
        </w:rPr>
        <w:t xml:space="preserve">. In </w:t>
      </w:r>
      <w:r w:rsidR="00C137CE">
        <w:rPr>
          <w:noProof/>
        </w:rPr>
        <w:t>the latter</w:t>
      </w:r>
      <w:r w:rsidR="00C137CE" w:rsidRPr="003241F7">
        <w:rPr>
          <w:noProof/>
        </w:rPr>
        <w:t xml:space="preserve"> </w:t>
      </w:r>
      <w:r w:rsidR="00B70A29" w:rsidRPr="003241F7">
        <w:rPr>
          <w:noProof/>
        </w:rPr>
        <w:t xml:space="preserve">case, the specifications could provide for conformity assessment </w:t>
      </w:r>
      <w:r w:rsidR="000A4861">
        <w:rPr>
          <w:noProof/>
        </w:rPr>
        <w:t xml:space="preserve">and market surveillance </w:t>
      </w:r>
      <w:r w:rsidR="00B70A29" w:rsidRPr="003241F7">
        <w:rPr>
          <w:noProof/>
        </w:rPr>
        <w:t xml:space="preserve">procedures. </w:t>
      </w:r>
      <w:r w:rsidR="000A4861" w:rsidRPr="000A4861">
        <w:rPr>
          <w:noProof/>
        </w:rPr>
        <w:t>Such procedures should be limited to what would be necessary in each separate case.</w:t>
      </w:r>
    </w:p>
    <w:p w14:paraId="031AC628" w14:textId="348CE922" w:rsidR="00C17273" w:rsidRPr="003241F7" w:rsidRDefault="00E01660" w:rsidP="00E01660">
      <w:pPr>
        <w:pStyle w:val="ManualConsidrant"/>
        <w:rPr>
          <w:noProof/>
        </w:rPr>
      </w:pPr>
      <w:r w:rsidRPr="00E01660">
        <w:t>(19)</w:t>
      </w:r>
      <w:r w:rsidRPr="00E01660">
        <w:tab/>
      </w:r>
      <w:r w:rsidR="00C17273" w:rsidRPr="00C17273">
        <w:rPr>
          <w:noProof/>
        </w:rPr>
        <w:t>Whe</w:t>
      </w:r>
      <w:r w:rsidR="0082240A">
        <w:rPr>
          <w:noProof/>
        </w:rPr>
        <w:t>n</w:t>
      </w:r>
      <w:r w:rsidR="00C17273" w:rsidRPr="00C17273">
        <w:rPr>
          <w:noProof/>
        </w:rPr>
        <w:t xml:space="preserve"> the deployment and use of ITS equipment and software </w:t>
      </w:r>
      <w:r w:rsidR="004B25B5">
        <w:rPr>
          <w:noProof/>
        </w:rPr>
        <w:t>include</w:t>
      </w:r>
      <w:r w:rsidR="00C17273" w:rsidRPr="00C17273">
        <w:rPr>
          <w:noProof/>
        </w:rPr>
        <w:t xml:space="preserve"> </w:t>
      </w:r>
      <w:r w:rsidR="004B25B5">
        <w:rPr>
          <w:noProof/>
        </w:rPr>
        <w:t>artificial intelligence</w:t>
      </w:r>
      <w:r w:rsidR="00C17273" w:rsidRPr="00C17273">
        <w:rPr>
          <w:noProof/>
        </w:rPr>
        <w:t xml:space="preserve"> systems, the</w:t>
      </w:r>
      <w:r w:rsidR="0082240A">
        <w:rPr>
          <w:noProof/>
        </w:rPr>
        <w:t xml:space="preserve"> relevant provisions of t</w:t>
      </w:r>
      <w:r w:rsidR="00C17273" w:rsidRPr="00C17273">
        <w:rPr>
          <w:noProof/>
        </w:rPr>
        <w:t>he</w:t>
      </w:r>
      <w:r w:rsidR="00C17273">
        <w:rPr>
          <w:noProof/>
        </w:rPr>
        <w:t xml:space="preserve"> </w:t>
      </w:r>
      <w:r w:rsidR="00DE5FF8">
        <w:rPr>
          <w:noProof/>
        </w:rPr>
        <w:t>forthcoming</w:t>
      </w:r>
      <w:r w:rsidR="00C17273" w:rsidRPr="00C17273">
        <w:rPr>
          <w:noProof/>
        </w:rPr>
        <w:t xml:space="preserve"> Artificial Intelligence Act</w:t>
      </w:r>
      <w:r w:rsidR="00C17273">
        <w:rPr>
          <w:rStyle w:val="FootnoteReference"/>
          <w:noProof/>
        </w:rPr>
        <w:footnoteReference w:id="57"/>
      </w:r>
      <w:r w:rsidR="0082240A">
        <w:rPr>
          <w:noProof/>
        </w:rPr>
        <w:t xml:space="preserve"> </w:t>
      </w:r>
      <w:r w:rsidR="00DE5FF8">
        <w:rPr>
          <w:noProof/>
        </w:rPr>
        <w:t xml:space="preserve">should </w:t>
      </w:r>
      <w:r w:rsidR="00AF2DC9" w:rsidRPr="00AF2DC9">
        <w:rPr>
          <w:noProof/>
        </w:rPr>
        <w:t>be taken into account</w:t>
      </w:r>
      <w:r w:rsidR="00C17273">
        <w:rPr>
          <w:noProof/>
        </w:rPr>
        <w:t>.</w:t>
      </w:r>
    </w:p>
    <w:p w14:paraId="123E81A9" w14:textId="02B3533C" w:rsidR="0034223F" w:rsidRPr="003241F7" w:rsidRDefault="00E01660" w:rsidP="00E01660">
      <w:pPr>
        <w:pStyle w:val="ManualConsidrant"/>
        <w:rPr>
          <w:noProof/>
        </w:rPr>
      </w:pPr>
      <w:r w:rsidRPr="00E01660">
        <w:t>(20)</w:t>
      </w:r>
      <w:r w:rsidRPr="00E01660">
        <w:tab/>
      </w:r>
      <w:r w:rsidR="00953E37" w:rsidRPr="003241F7">
        <w:rPr>
          <w:noProof/>
        </w:rPr>
        <w:t xml:space="preserve">For ITS applications and services for which accurate and guaranteed timing and positioning services are required, satellite-based infrastructures or any technology providing an equivalent level of precisions should be used. Synergies between the Union transport and space sectors should be exploited to foster the broader use of new technologies, which respond to the need of accurate and guaranteed timing and positioning services. The Union Space </w:t>
      </w:r>
      <w:r w:rsidR="00FA2AF8">
        <w:rPr>
          <w:noProof/>
        </w:rPr>
        <w:t>P</w:t>
      </w:r>
      <w:r w:rsidR="00953E37" w:rsidRPr="003241F7">
        <w:rPr>
          <w:noProof/>
        </w:rPr>
        <w:t>rogramme established under Regulation (EU) 2021/696 of the European Parliament and of the Council</w:t>
      </w:r>
      <w:r w:rsidR="00953E37" w:rsidRPr="005B19D1">
        <w:rPr>
          <w:rStyle w:val="FootnoteReference"/>
          <w:noProof/>
        </w:rPr>
        <w:footnoteReference w:id="58"/>
      </w:r>
      <w:r w:rsidR="00953E37" w:rsidRPr="003241F7">
        <w:rPr>
          <w:noProof/>
        </w:rPr>
        <w:t xml:space="preserve"> provides high-quality, up-to-date and secure space-related data, information and services through the Galileo, the European Geostationary Navigation Overlay Service (EGNOS), and Copernicus systems</w:t>
      </w:r>
      <w:r w:rsidR="0034223F" w:rsidRPr="003241F7">
        <w:rPr>
          <w:noProof/>
        </w:rPr>
        <w:t>.</w:t>
      </w:r>
    </w:p>
    <w:p w14:paraId="0300F9D4" w14:textId="66B9D87E" w:rsidR="00603180" w:rsidRPr="003241F7" w:rsidRDefault="00E01660" w:rsidP="00E01660">
      <w:pPr>
        <w:pStyle w:val="ManualConsidrant"/>
        <w:rPr>
          <w:noProof/>
        </w:rPr>
      </w:pPr>
      <w:r w:rsidRPr="00E01660">
        <w:t>(21)</w:t>
      </w:r>
      <w:r w:rsidRPr="00E01660">
        <w:tab/>
      </w:r>
      <w:r w:rsidR="00603180" w:rsidRPr="003241F7">
        <w:rPr>
          <w:noProof/>
        </w:rPr>
        <w:t>The provision of secured and reliable timing and positioning services is an essential element of the effective operation of ITS application</w:t>
      </w:r>
      <w:r w:rsidR="00135650" w:rsidRPr="003241F7">
        <w:rPr>
          <w:noProof/>
        </w:rPr>
        <w:t>s</w:t>
      </w:r>
      <w:r w:rsidR="00603180" w:rsidRPr="003241F7">
        <w:rPr>
          <w:noProof/>
        </w:rPr>
        <w:t xml:space="preserve"> and services. Therefore, it is appropriate to ensure their compatibility with the authentication mechanism provided by the Galileo programme, in order to mitigate Global Navigation Satellite Systems (</w:t>
      </w:r>
      <w:r w:rsidR="00FA2AF8">
        <w:rPr>
          <w:noProof/>
        </w:rPr>
        <w:t>‘</w:t>
      </w:r>
      <w:r w:rsidR="00603180" w:rsidRPr="003241F7">
        <w:rPr>
          <w:noProof/>
        </w:rPr>
        <w:t>GNSS</w:t>
      </w:r>
      <w:r w:rsidR="00FA2AF8">
        <w:rPr>
          <w:noProof/>
        </w:rPr>
        <w:t>’</w:t>
      </w:r>
      <w:r w:rsidR="00603180" w:rsidRPr="003241F7">
        <w:rPr>
          <w:noProof/>
        </w:rPr>
        <w:t>) signal spoofing attacks.</w:t>
      </w:r>
    </w:p>
    <w:p w14:paraId="6EBB4BEE" w14:textId="2A2BA085" w:rsidR="00B70A29" w:rsidRPr="003241F7" w:rsidRDefault="00E01660" w:rsidP="00E01660">
      <w:pPr>
        <w:pStyle w:val="ManualConsidrant"/>
        <w:rPr>
          <w:noProof/>
        </w:rPr>
      </w:pPr>
      <w:r w:rsidRPr="00E01660">
        <w:t>(22)</w:t>
      </w:r>
      <w:r w:rsidRPr="00E01660">
        <w:tab/>
      </w:r>
      <w:r w:rsidR="00366AC3" w:rsidRPr="003241F7">
        <w:rPr>
          <w:noProof/>
        </w:rPr>
        <w:t>Member States and other relevant stakeholders</w:t>
      </w:r>
      <w:r w:rsidR="006F0970" w:rsidRPr="003241F7">
        <w:rPr>
          <w:noProof/>
        </w:rPr>
        <w:t xml:space="preserve">, including other Commission expert groups </w:t>
      </w:r>
      <w:r w:rsidR="00246CF7" w:rsidRPr="003241F7">
        <w:rPr>
          <w:noProof/>
        </w:rPr>
        <w:t xml:space="preserve">and committees </w:t>
      </w:r>
      <w:r w:rsidR="006F0970" w:rsidRPr="003241F7">
        <w:rPr>
          <w:noProof/>
        </w:rPr>
        <w:t>dealing with digital aspects of transport,</w:t>
      </w:r>
      <w:r w:rsidR="00366AC3" w:rsidRPr="003241F7">
        <w:rPr>
          <w:noProof/>
        </w:rPr>
        <w:t xml:space="preserve"> should be </w:t>
      </w:r>
      <w:r w:rsidR="000772F9">
        <w:rPr>
          <w:noProof/>
        </w:rPr>
        <w:t xml:space="preserve">consulted </w:t>
      </w:r>
      <w:r w:rsidR="00894FB3">
        <w:rPr>
          <w:noProof/>
        </w:rPr>
        <w:t>in the drawing up</w:t>
      </w:r>
      <w:r w:rsidR="00894FB3" w:rsidRPr="003241F7">
        <w:rPr>
          <w:noProof/>
        </w:rPr>
        <w:t xml:space="preserve"> </w:t>
      </w:r>
      <w:r w:rsidR="00366AC3" w:rsidRPr="003241F7">
        <w:rPr>
          <w:noProof/>
        </w:rPr>
        <w:t>of the working programmes adopted by the Commission</w:t>
      </w:r>
      <w:r w:rsidR="00894FB3">
        <w:rPr>
          <w:noProof/>
        </w:rPr>
        <w:t xml:space="preserve"> under </w:t>
      </w:r>
      <w:r w:rsidR="00894FB3" w:rsidRPr="003241F7">
        <w:rPr>
          <w:noProof/>
        </w:rPr>
        <w:t xml:space="preserve">Directive </w:t>
      </w:r>
      <w:r w:rsidR="00894FB3" w:rsidRPr="00137131">
        <w:rPr>
          <w:noProof/>
        </w:rPr>
        <w:t>2010/40/EU</w:t>
      </w:r>
      <w:r w:rsidR="00B70A29" w:rsidRPr="003241F7">
        <w:rPr>
          <w:noProof/>
        </w:rPr>
        <w:t>.</w:t>
      </w:r>
    </w:p>
    <w:p w14:paraId="225CC95F" w14:textId="56843D2C" w:rsidR="00366AC3" w:rsidRPr="003241F7" w:rsidRDefault="00E01660" w:rsidP="00E01660">
      <w:pPr>
        <w:pStyle w:val="ManualConsidrant"/>
        <w:rPr>
          <w:noProof/>
        </w:rPr>
      </w:pPr>
      <w:r w:rsidRPr="00E01660">
        <w:t>(23)</w:t>
      </w:r>
      <w:r w:rsidRPr="00E01660">
        <w:tab/>
      </w:r>
      <w:r w:rsidR="0072177D">
        <w:rPr>
          <w:noProof/>
        </w:rPr>
        <w:t>T</w:t>
      </w:r>
      <w:r w:rsidR="00366AC3" w:rsidRPr="003241F7">
        <w:rPr>
          <w:noProof/>
        </w:rPr>
        <w:t xml:space="preserve">o ensure uniform conditions for the implementation of this Directive, implementing powers should be conferred on the Commission as regards the adoption of the template for the reports to be provided by Member States, and the adoption </w:t>
      </w:r>
      <w:r w:rsidR="0072177D">
        <w:rPr>
          <w:noProof/>
        </w:rPr>
        <w:t xml:space="preserve">and updating </w:t>
      </w:r>
      <w:r w:rsidR="00366AC3" w:rsidRPr="003241F7">
        <w:rPr>
          <w:noProof/>
        </w:rPr>
        <w:t>of working programmes. Those powers should be exercised in accordance with Regulation (EU) No 182/2011 of the European Parliament and of the Council</w:t>
      </w:r>
      <w:r w:rsidR="00366AC3" w:rsidRPr="002F1BA7">
        <w:rPr>
          <w:rStyle w:val="FootnoteReference"/>
          <w:noProof/>
        </w:rPr>
        <w:footnoteReference w:id="59"/>
      </w:r>
      <w:r w:rsidR="00366AC3" w:rsidRPr="003241F7">
        <w:rPr>
          <w:noProof/>
        </w:rPr>
        <w:t>.</w:t>
      </w:r>
    </w:p>
    <w:p w14:paraId="5CA6082B" w14:textId="79B2AC2D" w:rsidR="007B7A36" w:rsidRPr="003241F7" w:rsidRDefault="00E01660" w:rsidP="00E01660">
      <w:pPr>
        <w:pStyle w:val="ManualConsidrant"/>
        <w:rPr>
          <w:noProof/>
        </w:rPr>
      </w:pPr>
      <w:r w:rsidRPr="00E01660">
        <w:t>(24)</w:t>
      </w:r>
      <w:r w:rsidRPr="00E01660">
        <w:tab/>
      </w:r>
      <w:r w:rsidR="00BF7FE6" w:rsidRPr="003241F7">
        <w:rPr>
          <w:noProof/>
        </w:rPr>
        <w:t>In order to achieve the objectives of this</w:t>
      </w:r>
      <w:r w:rsidR="00E66260" w:rsidRPr="003241F7">
        <w:rPr>
          <w:noProof/>
        </w:rPr>
        <w:t xml:space="preserve"> Directive</w:t>
      </w:r>
      <w:r w:rsidR="00BF7FE6" w:rsidRPr="003241F7">
        <w:rPr>
          <w:noProof/>
        </w:rPr>
        <w:t xml:space="preserve">, the power to adopt acts in accordance with Article 290 of the Treaty on the Functioning of the European Union should be delegated to the Commission to </w:t>
      </w:r>
      <w:r w:rsidR="0072177D">
        <w:rPr>
          <w:noProof/>
        </w:rPr>
        <w:t xml:space="preserve">amend the list of data types for which Member States are to ensure the availability of data and to amend the list of ITS services for which Member States are to ensure deployment, </w:t>
      </w:r>
      <w:r w:rsidR="00BF7FE6" w:rsidRPr="003241F7">
        <w:rPr>
          <w:noProof/>
        </w:rPr>
        <w:t>for a period of five years starting from the entry into force of this Directive. This period should be tacitly extended for periods of the same duration, unless the European Parliament or the Council oppose such an extension. It is of particular importance that the Commission carry out appropriate consultations during its preparatory work, including at expert level</w:t>
      </w:r>
      <w:r w:rsidR="009A7766">
        <w:rPr>
          <w:noProof/>
        </w:rPr>
        <w:t xml:space="preserve"> and with stakeholders</w:t>
      </w:r>
      <w:r w:rsidR="00BF7FE6" w:rsidRPr="003241F7">
        <w:rPr>
          <w:noProof/>
        </w:rPr>
        <w:t>, and that those consultations be conducted in accordance with the principles laid down in the Interinstitutional Agreement of 13</w:t>
      </w:r>
      <w:r w:rsidR="00CD006B">
        <w:rPr>
          <w:noProof/>
        </w:rPr>
        <w:t> </w:t>
      </w:r>
      <w:r w:rsidR="00BF7FE6" w:rsidRPr="003241F7">
        <w:rPr>
          <w:noProof/>
        </w:rPr>
        <w:t>April</w:t>
      </w:r>
      <w:r w:rsidR="00CD006B">
        <w:rPr>
          <w:noProof/>
        </w:rPr>
        <w:t> </w:t>
      </w:r>
      <w:r w:rsidR="00BF7FE6" w:rsidRPr="003241F7">
        <w:rPr>
          <w:noProof/>
        </w:rPr>
        <w:t>2016 on Better Law-Making</w:t>
      </w:r>
      <w:r w:rsidR="00BF7FE6" w:rsidRPr="002F1BA7">
        <w:rPr>
          <w:rStyle w:val="FootnoteReference"/>
          <w:noProof/>
        </w:rPr>
        <w:footnoteReference w:id="60"/>
      </w:r>
      <w:r w:rsidR="00BF7FE6" w:rsidRPr="003241F7">
        <w:rPr>
          <w:noProof/>
        </w:rPr>
        <w:t>. In particular, to ensure equal participation in the preparation of delegated acts, the European Parliament and the Council receive all documents at the same time as Member States</w:t>
      </w:r>
      <w:r w:rsidR="00CD006B">
        <w:rPr>
          <w:noProof/>
        </w:rPr>
        <w:t>’</w:t>
      </w:r>
      <w:r w:rsidR="00BF7FE6" w:rsidRPr="003241F7">
        <w:rPr>
          <w:noProof/>
        </w:rPr>
        <w:t xml:space="preserve"> experts, and their experts systematically have access to meetings of Commission expert groups dealing with the preparation of delegated acts</w:t>
      </w:r>
      <w:r w:rsidR="007B7A36" w:rsidRPr="003241F7">
        <w:rPr>
          <w:noProof/>
        </w:rPr>
        <w:t>.</w:t>
      </w:r>
    </w:p>
    <w:p w14:paraId="68943E79" w14:textId="1655EEB1" w:rsidR="00BF7FE6" w:rsidRPr="003241F7" w:rsidRDefault="00E01660" w:rsidP="00E01660">
      <w:pPr>
        <w:pStyle w:val="ManualConsidrant"/>
        <w:rPr>
          <w:noProof/>
        </w:rPr>
      </w:pPr>
      <w:r w:rsidRPr="00E01660">
        <w:t>(25)</w:t>
      </w:r>
      <w:r w:rsidRPr="00E01660">
        <w:tab/>
      </w:r>
      <w:r w:rsidR="00A7666C" w:rsidRPr="003241F7">
        <w:rPr>
          <w:noProof/>
        </w:rPr>
        <w:t>In order to guarantee a coordinated approach, the Commission should ensure coherence between the activities of the Committee established by this Directive and of the Committee</w:t>
      </w:r>
      <w:r w:rsidR="00B12B90" w:rsidRPr="003241F7">
        <w:rPr>
          <w:noProof/>
        </w:rPr>
        <w:t>s</w:t>
      </w:r>
      <w:r w:rsidR="00A7666C" w:rsidRPr="003241F7">
        <w:rPr>
          <w:noProof/>
        </w:rPr>
        <w:t xml:space="preserve"> established by Regulation</w:t>
      </w:r>
      <w:r w:rsidR="00B12B90" w:rsidRPr="003241F7">
        <w:rPr>
          <w:noProof/>
        </w:rPr>
        <w:t>s</w:t>
      </w:r>
      <w:r w:rsidR="00A7666C" w:rsidRPr="003241F7">
        <w:rPr>
          <w:noProof/>
        </w:rPr>
        <w:t xml:space="preserve"> (EU) No 165/2014</w:t>
      </w:r>
      <w:r w:rsidR="00A7666C" w:rsidRPr="00B34BA7">
        <w:rPr>
          <w:rStyle w:val="FootnoteReference"/>
          <w:noProof/>
        </w:rPr>
        <w:footnoteReference w:id="61"/>
      </w:r>
      <w:r w:rsidR="00A7666C" w:rsidRPr="003241F7">
        <w:rPr>
          <w:noProof/>
        </w:rPr>
        <w:t xml:space="preserve">, </w:t>
      </w:r>
      <w:r w:rsidR="00C54BBE" w:rsidRPr="003241F7">
        <w:rPr>
          <w:noProof/>
        </w:rPr>
        <w:t>(EU) 2019/1239</w:t>
      </w:r>
      <w:r w:rsidR="00C54BBE" w:rsidRPr="00B34BA7">
        <w:rPr>
          <w:rStyle w:val="FootnoteReference"/>
          <w:noProof/>
        </w:rPr>
        <w:footnoteReference w:id="62"/>
      </w:r>
      <w:r w:rsidR="00B12B90" w:rsidRPr="003241F7">
        <w:rPr>
          <w:noProof/>
        </w:rPr>
        <w:t>,</w:t>
      </w:r>
      <w:r w:rsidR="00C54BBE" w:rsidRPr="003241F7">
        <w:rPr>
          <w:noProof/>
        </w:rPr>
        <w:t xml:space="preserve"> (EU) 2020/1056</w:t>
      </w:r>
      <w:r w:rsidR="00C54BBE" w:rsidRPr="00B34BA7">
        <w:rPr>
          <w:rStyle w:val="FootnoteReference"/>
          <w:noProof/>
        </w:rPr>
        <w:footnoteReference w:id="63"/>
      </w:r>
      <w:r w:rsidR="00B12B90" w:rsidRPr="003241F7">
        <w:rPr>
          <w:noProof/>
        </w:rPr>
        <w:t xml:space="preserve"> and</w:t>
      </w:r>
      <w:r w:rsidR="00A7666C" w:rsidRPr="003241F7">
        <w:rPr>
          <w:noProof/>
        </w:rPr>
        <w:t xml:space="preserve"> (EU) 2018/858</w:t>
      </w:r>
      <w:r w:rsidR="00B12B90" w:rsidRPr="003241F7">
        <w:rPr>
          <w:noProof/>
        </w:rPr>
        <w:t xml:space="preserve"> of the European Parliament and of the Council, </w:t>
      </w:r>
      <w:r w:rsidR="00A7666C" w:rsidRPr="003241F7">
        <w:rPr>
          <w:noProof/>
        </w:rPr>
        <w:t>and by Directive</w:t>
      </w:r>
      <w:r w:rsidR="00CD006B">
        <w:rPr>
          <w:noProof/>
        </w:rPr>
        <w:t>s</w:t>
      </w:r>
      <w:r w:rsidR="00A7666C" w:rsidRPr="003241F7">
        <w:rPr>
          <w:noProof/>
        </w:rPr>
        <w:t xml:space="preserve"> 2007/2/EC</w:t>
      </w:r>
      <w:r w:rsidR="00B7557E" w:rsidRPr="00B34BA7">
        <w:rPr>
          <w:rStyle w:val="FootnoteReference"/>
          <w:noProof/>
        </w:rPr>
        <w:footnoteReference w:id="64"/>
      </w:r>
      <w:r w:rsidR="00CD006B" w:rsidRPr="00CD006B">
        <w:rPr>
          <w:noProof/>
        </w:rPr>
        <w:t xml:space="preserve"> </w:t>
      </w:r>
      <w:r w:rsidR="00CD006B">
        <w:rPr>
          <w:noProof/>
        </w:rPr>
        <w:t>and</w:t>
      </w:r>
      <w:r w:rsidR="00CD006B" w:rsidRPr="003241F7">
        <w:rPr>
          <w:noProof/>
        </w:rPr>
        <w:t xml:space="preserve"> Directive (EU) 2019/520 of the European Parliament and of the Council</w:t>
      </w:r>
      <w:r w:rsidR="00CD006B" w:rsidRPr="00B34BA7">
        <w:rPr>
          <w:rStyle w:val="FootnoteReference"/>
          <w:noProof/>
        </w:rPr>
        <w:footnoteReference w:id="65"/>
      </w:r>
      <w:r w:rsidR="00CD006B">
        <w:rPr>
          <w:noProof/>
        </w:rPr>
        <w:t>.</w:t>
      </w:r>
    </w:p>
    <w:p w14:paraId="1A2D9488" w14:textId="7F7DC0AF" w:rsidR="00836838" w:rsidRPr="003241F7" w:rsidRDefault="00E01660" w:rsidP="00E01660">
      <w:pPr>
        <w:pStyle w:val="ManualConsidrant"/>
        <w:rPr>
          <w:noProof/>
        </w:rPr>
      </w:pPr>
      <w:r w:rsidRPr="00E01660">
        <w:t>(26)</w:t>
      </w:r>
      <w:r w:rsidRPr="00E01660">
        <w:tab/>
      </w:r>
      <w:r w:rsidR="00836838" w:rsidRPr="003241F7">
        <w:rPr>
          <w:noProof/>
        </w:rPr>
        <w:t>Since the objective of this Directive, namely to ensure the coordinated and coherent deployment of interoperable Intelligent Transport Systems throughout the Union</w:t>
      </w:r>
      <w:r w:rsidR="00CD006B">
        <w:rPr>
          <w:noProof/>
        </w:rPr>
        <w:t>,</w:t>
      </w:r>
      <w:r w:rsidR="00836838" w:rsidRPr="003241F7">
        <w:rPr>
          <w:noProof/>
        </w:rPr>
        <w:t xml:space="preserve"> cannot be sufficiently achieved by the Member States and/or the private sector </w:t>
      </w:r>
      <w:r w:rsidR="00B12B90" w:rsidRPr="003241F7">
        <w:rPr>
          <w:noProof/>
        </w:rPr>
        <w:t>but can rather,</w:t>
      </w:r>
      <w:r w:rsidR="00836838" w:rsidRPr="003241F7">
        <w:rPr>
          <w:noProof/>
        </w:rPr>
        <w:t xml:space="preserve"> by reason of its scale and effects, be better achieved at Union level, the Union may adopt measures, in accordance with the principle of subsidiarity as set out in Article 5 of the Treaty on European Union. In accordance with the principle of proportionality as set out in that Article, this Directive does not go beyond what is necessary in order to achieve that objective.</w:t>
      </w:r>
    </w:p>
    <w:p w14:paraId="6AAEBCE9" w14:textId="7BAB8E44" w:rsidR="00322D3A" w:rsidRDefault="00E01660" w:rsidP="00E01660">
      <w:pPr>
        <w:pStyle w:val="ManualConsidrant"/>
        <w:rPr>
          <w:noProof/>
        </w:rPr>
      </w:pPr>
      <w:r w:rsidRPr="00E01660">
        <w:t>(27)</w:t>
      </w:r>
      <w:r w:rsidRPr="00E01660">
        <w:tab/>
      </w:r>
      <w:r w:rsidR="00D94544">
        <w:rPr>
          <w:noProof/>
        </w:rPr>
        <w:t xml:space="preserve">In accordance with the Joint Political </w:t>
      </w:r>
      <w:r w:rsidR="00D94544" w:rsidRPr="009B6D3F">
        <w:rPr>
          <w:noProof/>
        </w:rPr>
        <w:t>Declaration of 28 September 2011</w:t>
      </w:r>
      <w:r w:rsidR="00D94544">
        <w:rPr>
          <w:noProof/>
        </w:rPr>
        <w:t xml:space="preserve"> of Member States and the Commission on explanatory documents</w:t>
      </w:r>
      <w:r w:rsidR="00D94544">
        <w:rPr>
          <w:rStyle w:val="FootnoteReference"/>
          <w:noProof/>
        </w:rPr>
        <w:footnoteReference w:id="66"/>
      </w:r>
      <w:r w:rsidR="00D94544">
        <w:rPr>
          <w:noProof/>
        </w:rPr>
        <w:t xml:space="preserve">, Member States have undertaken to accompany, in justified cases, the notification of their transposition measures with one or more documents explaining the relationship between the components of a directive and the corresponding parts of national transposition instruments. </w:t>
      </w:r>
      <w:r w:rsidR="00D94544" w:rsidRPr="00871E6E">
        <w:rPr>
          <w:noProof/>
        </w:rPr>
        <w:t>With regard to this Directive, the legislator considers the transmission of</w:t>
      </w:r>
      <w:r w:rsidR="00807916">
        <w:rPr>
          <w:noProof/>
        </w:rPr>
        <w:t xml:space="preserve"> such documents to be justified</w:t>
      </w:r>
      <w:r w:rsidR="00322D3A">
        <w:rPr>
          <w:noProof/>
        </w:rPr>
        <w:t>.</w:t>
      </w:r>
    </w:p>
    <w:p w14:paraId="61A7E073" w14:textId="4A961B8B" w:rsidR="00D94544" w:rsidRPr="001D69D6" w:rsidRDefault="00E01660" w:rsidP="00E01660">
      <w:pPr>
        <w:pStyle w:val="ManualConsidrant"/>
        <w:rPr>
          <w:noProof/>
        </w:rPr>
      </w:pPr>
      <w:r w:rsidRPr="00E01660">
        <w:t>(28)</w:t>
      </w:r>
      <w:r w:rsidRPr="00E01660">
        <w:tab/>
      </w:r>
      <w:r w:rsidR="00322D3A" w:rsidRPr="00322D3A">
        <w:rPr>
          <w:noProof/>
        </w:rPr>
        <w:t xml:space="preserve">The European Data Protection Supervisor was consulted in accordance with Article 42(1) of Regulation (EU) 2018/1725 </w:t>
      </w:r>
      <w:r w:rsidR="00CD006B" w:rsidRPr="00166C7D">
        <w:rPr>
          <w:noProof/>
        </w:rPr>
        <w:t>of the European Parliament and of the Council</w:t>
      </w:r>
      <w:r w:rsidR="00CD006B">
        <w:rPr>
          <w:rStyle w:val="FootnoteReference"/>
          <w:noProof/>
        </w:rPr>
        <w:footnoteReference w:id="67"/>
      </w:r>
      <w:r w:rsidR="00CD006B" w:rsidRPr="00166C7D">
        <w:rPr>
          <w:noProof/>
        </w:rPr>
        <w:t xml:space="preserve"> </w:t>
      </w:r>
      <w:r w:rsidR="00322D3A" w:rsidRPr="00322D3A">
        <w:rPr>
          <w:noProof/>
        </w:rPr>
        <w:t>and delivered an opinion on XX XX 2022</w:t>
      </w:r>
      <w:r w:rsidR="00807916">
        <w:rPr>
          <w:noProof/>
        </w:rPr>
        <w:t>,</w:t>
      </w:r>
    </w:p>
    <w:p w14:paraId="2A227747" w14:textId="2B9CE40E" w:rsidR="00D94544" w:rsidRPr="00AC7E92" w:rsidRDefault="00D94544" w:rsidP="00D13454">
      <w:pPr>
        <w:rPr>
          <w:noProof/>
        </w:rPr>
      </w:pPr>
    </w:p>
    <w:p w14:paraId="0746AC80" w14:textId="77777777" w:rsidR="00D94544" w:rsidRPr="00AC7E92" w:rsidRDefault="00D94544" w:rsidP="00D13454">
      <w:pPr>
        <w:pStyle w:val="Formuledadoption"/>
        <w:rPr>
          <w:noProof/>
        </w:rPr>
      </w:pPr>
      <w:r w:rsidRPr="00AC7E92">
        <w:rPr>
          <w:noProof/>
        </w:rPr>
        <w:t>HAVE ADOPTED THIS DIRECTIVE:</w:t>
      </w:r>
    </w:p>
    <w:p w14:paraId="3D5453DC" w14:textId="77777777" w:rsidR="00D94544" w:rsidRDefault="00D94544" w:rsidP="00D13454">
      <w:pPr>
        <w:pStyle w:val="Titrearticle"/>
        <w:rPr>
          <w:noProof/>
        </w:rPr>
      </w:pPr>
      <w:r w:rsidRPr="00AC7E92">
        <w:rPr>
          <w:noProof/>
        </w:rPr>
        <w:t xml:space="preserve">Article </w:t>
      </w:r>
      <w:r w:rsidRPr="0042330F">
        <w:rPr>
          <w:noProof/>
        </w:rPr>
        <w:t>1</w:t>
      </w:r>
    </w:p>
    <w:p w14:paraId="672202F3" w14:textId="77777777" w:rsidR="008511AE" w:rsidRPr="00BB1114" w:rsidRDefault="008511AE" w:rsidP="008511AE">
      <w:pPr>
        <w:jc w:val="center"/>
        <w:rPr>
          <w:noProof/>
        </w:rPr>
      </w:pPr>
      <w:r w:rsidRPr="00BB1114">
        <w:rPr>
          <w:b/>
          <w:noProof/>
        </w:rPr>
        <w:t>Amendments to Directive 2010/40/EU</w:t>
      </w:r>
    </w:p>
    <w:p w14:paraId="1ED810ED" w14:textId="77777777" w:rsidR="00D94544" w:rsidRPr="00433D87" w:rsidRDefault="00CD4ACD" w:rsidP="00D13454">
      <w:pPr>
        <w:rPr>
          <w:noProof/>
        </w:rPr>
      </w:pPr>
      <w:r w:rsidRPr="00433D87">
        <w:rPr>
          <w:noProof/>
        </w:rPr>
        <w:t>Directive 2010/40/EU is amended as follows:</w:t>
      </w:r>
    </w:p>
    <w:p w14:paraId="620E161C" w14:textId="78009D0E" w:rsidR="00CD4ACD" w:rsidRDefault="00E01660" w:rsidP="00E01660">
      <w:pPr>
        <w:pStyle w:val="Point0"/>
        <w:rPr>
          <w:noProof/>
        </w:rPr>
      </w:pPr>
      <w:r w:rsidRPr="00E01660">
        <w:t>(1)</w:t>
      </w:r>
      <w:r w:rsidRPr="00E01660">
        <w:tab/>
      </w:r>
      <w:r w:rsidR="00B8371E">
        <w:rPr>
          <w:noProof/>
        </w:rPr>
        <w:t>i</w:t>
      </w:r>
      <w:r w:rsidR="00DD2784">
        <w:rPr>
          <w:noProof/>
        </w:rPr>
        <w:t xml:space="preserve">n </w:t>
      </w:r>
      <w:r w:rsidR="00DD2784" w:rsidRPr="00DD2784">
        <w:rPr>
          <w:noProof/>
        </w:rPr>
        <w:t xml:space="preserve">Article </w:t>
      </w:r>
      <w:r w:rsidR="00DD2784">
        <w:rPr>
          <w:noProof/>
        </w:rPr>
        <w:t>1,</w:t>
      </w:r>
      <w:r w:rsidR="00DD2784" w:rsidRPr="00DD2784">
        <w:rPr>
          <w:noProof/>
        </w:rPr>
        <w:t xml:space="preserve"> </w:t>
      </w:r>
      <w:r w:rsidR="00DD2784">
        <w:rPr>
          <w:noProof/>
        </w:rPr>
        <w:t xml:space="preserve">the following paragraph </w:t>
      </w:r>
      <w:r w:rsidR="00B8371E">
        <w:rPr>
          <w:noProof/>
        </w:rPr>
        <w:t xml:space="preserve">2a </w:t>
      </w:r>
      <w:r w:rsidR="00DD2784">
        <w:rPr>
          <w:noProof/>
        </w:rPr>
        <w:t>is inserted</w:t>
      </w:r>
      <w:r w:rsidR="00DD2784" w:rsidRPr="00DD2784">
        <w:rPr>
          <w:noProof/>
        </w:rPr>
        <w:t>:</w:t>
      </w:r>
    </w:p>
    <w:p w14:paraId="51730AFC" w14:textId="00929CC0" w:rsidR="00DD2784" w:rsidRDefault="00DD2784" w:rsidP="003338D2">
      <w:pPr>
        <w:pStyle w:val="ManualNumPar1"/>
        <w:ind w:firstLine="0"/>
        <w:rPr>
          <w:noProof/>
        </w:rPr>
      </w:pPr>
      <w:r w:rsidRPr="003274D8">
        <w:rPr>
          <w:noProof/>
        </w:rPr>
        <w:t>‘</w:t>
      </w:r>
      <w:r>
        <w:rPr>
          <w:noProof/>
        </w:rPr>
        <w:t>2a.</w:t>
      </w:r>
      <w:r>
        <w:rPr>
          <w:noProof/>
        </w:rPr>
        <w:tab/>
      </w:r>
      <w:r w:rsidRPr="00DD2784">
        <w:rPr>
          <w:noProof/>
        </w:rPr>
        <w:t xml:space="preserve">This Directive provides for the availability of data and deployment of </w:t>
      </w:r>
      <w:r w:rsidR="00B8371E">
        <w:rPr>
          <w:noProof/>
        </w:rPr>
        <w:t xml:space="preserve">ITS </w:t>
      </w:r>
      <w:r w:rsidRPr="00DD2784">
        <w:rPr>
          <w:noProof/>
        </w:rPr>
        <w:t>services within the priority areas referred to in Article 2</w:t>
      </w:r>
      <w:r w:rsidR="00B8371E">
        <w:rPr>
          <w:noProof/>
        </w:rPr>
        <w:t xml:space="preserve"> with</w:t>
      </w:r>
      <w:r w:rsidRPr="00DD2784">
        <w:rPr>
          <w:noProof/>
        </w:rPr>
        <w:t xml:space="preserve"> a specific geographical coverage as specified in Annexes III and IV.</w:t>
      </w:r>
      <w:r>
        <w:rPr>
          <w:noProof/>
        </w:rPr>
        <w:t>’</w:t>
      </w:r>
      <w:r w:rsidR="00B8371E">
        <w:rPr>
          <w:noProof/>
        </w:rPr>
        <w:t>;</w:t>
      </w:r>
    </w:p>
    <w:p w14:paraId="45794515" w14:textId="3D260E55" w:rsidR="00DD2784" w:rsidRDefault="00E01660" w:rsidP="00E01660">
      <w:pPr>
        <w:pStyle w:val="Point0"/>
        <w:rPr>
          <w:noProof/>
        </w:rPr>
      </w:pPr>
      <w:r w:rsidRPr="00E01660">
        <w:t>(2)</w:t>
      </w:r>
      <w:r w:rsidRPr="00E01660">
        <w:tab/>
      </w:r>
      <w:r w:rsidR="00B8371E">
        <w:rPr>
          <w:noProof/>
        </w:rPr>
        <w:t>i</w:t>
      </w:r>
      <w:r w:rsidR="003338D2">
        <w:rPr>
          <w:noProof/>
        </w:rPr>
        <w:t>n Article 2, paragraph 1 is replaced by the following:</w:t>
      </w:r>
    </w:p>
    <w:p w14:paraId="585C00CF" w14:textId="6816E3D7" w:rsidR="003338D2" w:rsidRDefault="003338D2" w:rsidP="000C3D62">
      <w:pPr>
        <w:pStyle w:val="Text1"/>
        <w:rPr>
          <w:noProof/>
        </w:rPr>
      </w:pPr>
      <w:r w:rsidRPr="003274D8">
        <w:rPr>
          <w:noProof/>
        </w:rPr>
        <w:t>‘</w:t>
      </w:r>
      <w:r>
        <w:rPr>
          <w:noProof/>
        </w:rPr>
        <w:t>1.</w:t>
      </w:r>
      <w:r>
        <w:rPr>
          <w:noProof/>
        </w:rPr>
        <w:tab/>
        <w:t>For the purpose</w:t>
      </w:r>
      <w:r w:rsidR="00B8371E">
        <w:rPr>
          <w:noProof/>
        </w:rPr>
        <w:t>s</w:t>
      </w:r>
      <w:r>
        <w:rPr>
          <w:noProof/>
        </w:rPr>
        <w:t xml:space="preserve"> of this Directive</w:t>
      </w:r>
      <w:r w:rsidR="00B8371E">
        <w:rPr>
          <w:noProof/>
        </w:rPr>
        <w:t>,</w:t>
      </w:r>
      <w:r>
        <w:rPr>
          <w:noProof/>
        </w:rPr>
        <w:t xml:space="preserve"> the following shall constitute priority areas for the development and use of specifications and standards:</w:t>
      </w:r>
    </w:p>
    <w:p w14:paraId="5C97D84B" w14:textId="4FBF83BC" w:rsidR="003338D2" w:rsidRPr="00AD1226" w:rsidRDefault="0051732A" w:rsidP="000C3D62">
      <w:pPr>
        <w:pStyle w:val="Text1"/>
        <w:rPr>
          <w:noProof/>
        </w:rPr>
      </w:pPr>
      <w:r>
        <w:rPr>
          <w:noProof/>
        </w:rPr>
        <w:tab/>
      </w:r>
      <w:r w:rsidR="00B75E0B">
        <w:rPr>
          <w:noProof/>
        </w:rPr>
        <w:t>(a)</w:t>
      </w:r>
      <w:r>
        <w:rPr>
          <w:noProof/>
        </w:rPr>
        <w:t xml:space="preserve"> I.</w:t>
      </w:r>
      <w:r w:rsidR="00BB462E">
        <w:rPr>
          <w:noProof/>
        </w:rPr>
        <w:tab/>
      </w:r>
      <w:r>
        <w:rPr>
          <w:noProof/>
        </w:rPr>
        <w:t>Information</w:t>
      </w:r>
      <w:r w:rsidR="00474979">
        <w:rPr>
          <w:noProof/>
        </w:rPr>
        <w:t xml:space="preserve"> and </w:t>
      </w:r>
      <w:r w:rsidR="00BB497B" w:rsidRPr="00BB497B">
        <w:rPr>
          <w:noProof/>
        </w:rPr>
        <w:t xml:space="preserve">mobility </w:t>
      </w:r>
      <w:r w:rsidR="00474979">
        <w:rPr>
          <w:noProof/>
        </w:rPr>
        <w:t>ITS</w:t>
      </w:r>
      <w:r w:rsidRPr="00AD1226">
        <w:rPr>
          <w:noProof/>
        </w:rPr>
        <w:t xml:space="preserve"> </w:t>
      </w:r>
      <w:r w:rsidR="003338D2" w:rsidRPr="00AD1226">
        <w:rPr>
          <w:noProof/>
        </w:rPr>
        <w:t>services</w:t>
      </w:r>
      <w:r w:rsidR="00B75E0B">
        <w:rPr>
          <w:noProof/>
        </w:rPr>
        <w:t>;</w:t>
      </w:r>
    </w:p>
    <w:p w14:paraId="48519FF2" w14:textId="1D75FB04" w:rsidR="003338D2" w:rsidRDefault="003338D2" w:rsidP="000C3D62">
      <w:pPr>
        <w:pStyle w:val="Text1"/>
        <w:rPr>
          <w:noProof/>
        </w:rPr>
      </w:pPr>
      <w:r w:rsidRPr="00AD1226">
        <w:rPr>
          <w:noProof/>
        </w:rPr>
        <w:tab/>
      </w:r>
      <w:r w:rsidR="00B75E0B">
        <w:rPr>
          <w:noProof/>
        </w:rPr>
        <w:t>(b)</w:t>
      </w:r>
      <w:r w:rsidRPr="00AD1226">
        <w:rPr>
          <w:noProof/>
        </w:rPr>
        <w:t xml:space="preserve"> II.</w:t>
      </w:r>
      <w:r w:rsidR="00BB462E">
        <w:rPr>
          <w:noProof/>
        </w:rPr>
        <w:tab/>
      </w:r>
      <w:r w:rsidRPr="00AD1226">
        <w:rPr>
          <w:noProof/>
        </w:rPr>
        <w:t>Travel</w:t>
      </w:r>
      <w:r w:rsidR="00610FE4" w:rsidRPr="00AD1226">
        <w:rPr>
          <w:noProof/>
        </w:rPr>
        <w:t xml:space="preserve">, </w:t>
      </w:r>
      <w:r w:rsidR="00C37522">
        <w:rPr>
          <w:noProof/>
        </w:rPr>
        <w:t>t</w:t>
      </w:r>
      <w:r w:rsidR="00610FE4" w:rsidRPr="00AD1226">
        <w:rPr>
          <w:noProof/>
        </w:rPr>
        <w:t>ransport</w:t>
      </w:r>
      <w:r w:rsidRPr="00AD1226">
        <w:rPr>
          <w:noProof/>
        </w:rPr>
        <w:t xml:space="preserve"> and</w:t>
      </w:r>
      <w:r>
        <w:rPr>
          <w:noProof/>
        </w:rPr>
        <w:t xml:space="preserve"> </w:t>
      </w:r>
      <w:r w:rsidR="00C37522">
        <w:rPr>
          <w:noProof/>
        </w:rPr>
        <w:t>t</w:t>
      </w:r>
      <w:r>
        <w:rPr>
          <w:noProof/>
        </w:rPr>
        <w:t>raffic management ITS services</w:t>
      </w:r>
      <w:r w:rsidR="00B75E0B">
        <w:rPr>
          <w:noProof/>
        </w:rPr>
        <w:t>;</w:t>
      </w:r>
    </w:p>
    <w:p w14:paraId="7E71D390" w14:textId="2671D1E0" w:rsidR="003338D2" w:rsidRDefault="003338D2" w:rsidP="000C3D62">
      <w:pPr>
        <w:pStyle w:val="Text1"/>
        <w:rPr>
          <w:noProof/>
        </w:rPr>
      </w:pPr>
      <w:r>
        <w:rPr>
          <w:noProof/>
        </w:rPr>
        <w:tab/>
      </w:r>
      <w:r w:rsidR="00B75E0B">
        <w:rPr>
          <w:noProof/>
        </w:rPr>
        <w:t>(c)</w:t>
      </w:r>
      <w:r>
        <w:rPr>
          <w:noProof/>
        </w:rPr>
        <w:t xml:space="preserve"> III.</w:t>
      </w:r>
      <w:r w:rsidR="00BB462E">
        <w:rPr>
          <w:noProof/>
        </w:rPr>
        <w:tab/>
      </w:r>
      <w:r>
        <w:rPr>
          <w:noProof/>
        </w:rPr>
        <w:t>Road safety and security ITS services</w:t>
      </w:r>
      <w:r w:rsidR="00B75E0B">
        <w:rPr>
          <w:noProof/>
        </w:rPr>
        <w:t>;</w:t>
      </w:r>
    </w:p>
    <w:p w14:paraId="6FCE348B" w14:textId="7EB75EC8" w:rsidR="003338D2" w:rsidRDefault="003338D2" w:rsidP="000C3D62">
      <w:pPr>
        <w:pStyle w:val="Text1"/>
        <w:rPr>
          <w:noProof/>
        </w:rPr>
      </w:pPr>
      <w:r>
        <w:rPr>
          <w:noProof/>
        </w:rPr>
        <w:tab/>
      </w:r>
      <w:r w:rsidR="00B75E0B">
        <w:rPr>
          <w:noProof/>
        </w:rPr>
        <w:t>(d)</w:t>
      </w:r>
      <w:r>
        <w:rPr>
          <w:noProof/>
        </w:rPr>
        <w:t xml:space="preserve"> IV.</w:t>
      </w:r>
      <w:r w:rsidR="00BB462E">
        <w:rPr>
          <w:noProof/>
        </w:rPr>
        <w:tab/>
      </w:r>
      <w:r>
        <w:rPr>
          <w:noProof/>
        </w:rPr>
        <w:t xml:space="preserve">Cooperative, </w:t>
      </w:r>
      <w:r w:rsidR="00AD651C">
        <w:rPr>
          <w:noProof/>
        </w:rPr>
        <w:t>c</w:t>
      </w:r>
      <w:r>
        <w:rPr>
          <w:noProof/>
        </w:rPr>
        <w:t xml:space="preserve">onnected and </w:t>
      </w:r>
      <w:r w:rsidR="00AD651C">
        <w:rPr>
          <w:noProof/>
        </w:rPr>
        <w:t>a</w:t>
      </w:r>
      <w:r>
        <w:rPr>
          <w:noProof/>
        </w:rPr>
        <w:t xml:space="preserve">utomated </w:t>
      </w:r>
      <w:r w:rsidR="00AD651C">
        <w:rPr>
          <w:noProof/>
        </w:rPr>
        <w:t>m</w:t>
      </w:r>
      <w:r>
        <w:rPr>
          <w:noProof/>
        </w:rPr>
        <w:t>obility services.’</w:t>
      </w:r>
      <w:r w:rsidR="009D0EBE">
        <w:rPr>
          <w:noProof/>
        </w:rPr>
        <w:t>;</w:t>
      </w:r>
    </w:p>
    <w:p w14:paraId="4C9F0380" w14:textId="24CBE53D" w:rsidR="00655716" w:rsidRDefault="00E01660" w:rsidP="00E01660">
      <w:pPr>
        <w:pStyle w:val="Point0"/>
        <w:rPr>
          <w:noProof/>
        </w:rPr>
      </w:pPr>
      <w:r w:rsidRPr="00E01660">
        <w:t>(3)</w:t>
      </w:r>
      <w:r w:rsidRPr="00E01660">
        <w:tab/>
      </w:r>
      <w:r w:rsidR="000C452B">
        <w:rPr>
          <w:noProof/>
        </w:rPr>
        <w:t>Article 4</w:t>
      </w:r>
      <w:r w:rsidR="00183CDA" w:rsidRPr="00183CDA">
        <w:rPr>
          <w:noProof/>
        </w:rPr>
        <w:t xml:space="preserve"> </w:t>
      </w:r>
      <w:r w:rsidR="00183CDA" w:rsidRPr="00E77569">
        <w:rPr>
          <w:noProof/>
        </w:rPr>
        <w:t>is amended as follows</w:t>
      </w:r>
      <w:r w:rsidR="000C452B">
        <w:rPr>
          <w:noProof/>
        </w:rPr>
        <w:t>:</w:t>
      </w:r>
    </w:p>
    <w:p w14:paraId="644C294C" w14:textId="6CC0355B" w:rsidR="00183CDA" w:rsidRDefault="00E01660" w:rsidP="00E01660">
      <w:pPr>
        <w:pStyle w:val="Point1"/>
        <w:rPr>
          <w:noProof/>
        </w:rPr>
      </w:pPr>
      <w:r w:rsidRPr="00E01660">
        <w:t>(a)</w:t>
      </w:r>
      <w:r w:rsidRPr="00E01660">
        <w:tab/>
      </w:r>
      <w:r w:rsidR="00183CDA" w:rsidRPr="00183CDA">
        <w:rPr>
          <w:noProof/>
        </w:rPr>
        <w:t>point 1</w:t>
      </w:r>
      <w:r w:rsidR="00183CDA">
        <w:rPr>
          <w:noProof/>
        </w:rPr>
        <w:t>8</w:t>
      </w:r>
      <w:r w:rsidR="00183CDA" w:rsidRPr="00183CDA">
        <w:rPr>
          <w:noProof/>
        </w:rPr>
        <w:t xml:space="preserve"> is replaced by the following:</w:t>
      </w:r>
    </w:p>
    <w:p w14:paraId="7343C4DF" w14:textId="105F7411" w:rsidR="00183CDA" w:rsidRDefault="00183CDA" w:rsidP="000C3D62">
      <w:pPr>
        <w:pStyle w:val="Text1"/>
        <w:rPr>
          <w:noProof/>
        </w:rPr>
      </w:pPr>
      <w:r>
        <w:rPr>
          <w:noProof/>
        </w:rPr>
        <w:t>‘(18)</w:t>
      </w:r>
      <w:r>
        <w:rPr>
          <w:noProof/>
        </w:rPr>
        <w:tab/>
      </w:r>
      <w:r w:rsidR="00B45303">
        <w:rPr>
          <w:noProof/>
        </w:rPr>
        <w:t>“</w:t>
      </w:r>
      <w:r w:rsidRPr="00183CDA">
        <w:rPr>
          <w:noProof/>
        </w:rPr>
        <w:t>standard</w:t>
      </w:r>
      <w:r w:rsidR="00B45303">
        <w:rPr>
          <w:noProof/>
        </w:rPr>
        <w:t>”</w:t>
      </w:r>
      <w:r w:rsidR="003B5606">
        <w:rPr>
          <w:noProof/>
        </w:rPr>
        <w:t xml:space="preserve"> </w:t>
      </w:r>
      <w:r w:rsidRPr="00183CDA">
        <w:rPr>
          <w:noProof/>
        </w:rPr>
        <w:t xml:space="preserve">means standard as defined in </w:t>
      </w:r>
      <w:r w:rsidR="003B5606" w:rsidRPr="003B5606">
        <w:rPr>
          <w:noProof/>
        </w:rPr>
        <w:t>Article</w:t>
      </w:r>
      <w:r w:rsidRPr="003B5606">
        <w:rPr>
          <w:noProof/>
        </w:rPr>
        <w:t xml:space="preserve"> </w:t>
      </w:r>
      <w:r w:rsidR="00BA0C60" w:rsidRPr="003B5606">
        <w:rPr>
          <w:noProof/>
        </w:rPr>
        <w:t>2</w:t>
      </w:r>
      <w:r w:rsidRPr="003B5606">
        <w:rPr>
          <w:noProof/>
        </w:rPr>
        <w:t>(</w:t>
      </w:r>
      <w:r w:rsidR="00BA0C60" w:rsidRPr="003B5606">
        <w:rPr>
          <w:noProof/>
        </w:rPr>
        <w:t>1</w:t>
      </w:r>
      <w:r w:rsidR="003B5606" w:rsidRPr="003B5606">
        <w:rPr>
          <w:noProof/>
        </w:rPr>
        <w:t xml:space="preserve">) of </w:t>
      </w:r>
      <w:r w:rsidR="006D1F54" w:rsidRPr="006D1F54">
        <w:rPr>
          <w:noProof/>
        </w:rPr>
        <w:t>Regulation (EU) No 1025/2012 of the European Parliament and of the Council</w:t>
      </w:r>
      <w:r w:rsidR="00B45303" w:rsidRPr="00B45303">
        <w:rPr>
          <w:noProof/>
        </w:rPr>
        <w:t>*</w:t>
      </w:r>
      <w:r w:rsidR="003B5606">
        <w:rPr>
          <w:noProof/>
        </w:rPr>
        <w:t>;</w:t>
      </w:r>
    </w:p>
    <w:p w14:paraId="698732F0" w14:textId="77777777" w:rsidR="00B45303" w:rsidRDefault="00B45303" w:rsidP="00B45303">
      <w:pPr>
        <w:pStyle w:val="Text1"/>
        <w:rPr>
          <w:noProof/>
        </w:rPr>
      </w:pPr>
      <w:r>
        <w:rPr>
          <w:noProof/>
        </w:rPr>
        <w:t>________</w:t>
      </w:r>
    </w:p>
    <w:p w14:paraId="227A58BC" w14:textId="02BA05BF" w:rsidR="00B45303" w:rsidRDefault="00B45303" w:rsidP="00B45303">
      <w:pPr>
        <w:pStyle w:val="Text1"/>
        <w:rPr>
          <w:noProof/>
        </w:rPr>
      </w:pPr>
      <w:r>
        <w:rPr>
          <w:noProof/>
        </w:rPr>
        <w:t xml:space="preserve">* </w:t>
      </w:r>
      <w:r w:rsidRPr="00D233D7">
        <w:rPr>
          <w:noProof/>
        </w:rPr>
        <w:t>Regulation (EU) No 1025/2012 of the European Parliament and of the Council</w:t>
      </w:r>
      <w:r>
        <w:rPr>
          <w:noProof/>
        </w:rPr>
        <w:t xml:space="preserve"> of 25 October 2012 on European standardisation, amending Council Directives 89/686/EEC and 93/15/EEC and Directives 94/9/EC, 94/25/EC, 95/16/EC, 97/23/EC, 98/34/EC, 2004/22/EC, 2007/23/EC, 2009/23/EC and 2009/105/EC of the European Parliament and of the Council and repealing Council Decision 87/95/EEC and Decision No 1673/2006/EC of the European Parliament and of the Council (OJ L 316, 14.11.2012, p. 12).’;</w:t>
      </w:r>
    </w:p>
    <w:p w14:paraId="102BE385" w14:textId="578A392C" w:rsidR="00183CDA" w:rsidRDefault="00E01660" w:rsidP="00E01660">
      <w:pPr>
        <w:pStyle w:val="Point1"/>
        <w:rPr>
          <w:noProof/>
        </w:rPr>
      </w:pPr>
      <w:r w:rsidRPr="00E01660">
        <w:t>(b)</w:t>
      </w:r>
      <w:r w:rsidRPr="00E01660">
        <w:tab/>
      </w:r>
      <w:r w:rsidR="00183CDA" w:rsidRPr="00E77569">
        <w:rPr>
          <w:noProof/>
        </w:rPr>
        <w:t xml:space="preserve">the following points </w:t>
      </w:r>
      <w:r w:rsidR="00B45303">
        <w:rPr>
          <w:noProof/>
        </w:rPr>
        <w:t>(19) to (2</w:t>
      </w:r>
      <w:r w:rsidR="007E22E0">
        <w:rPr>
          <w:noProof/>
        </w:rPr>
        <w:t>4</w:t>
      </w:r>
      <w:r w:rsidR="00B45303">
        <w:rPr>
          <w:noProof/>
        </w:rPr>
        <w:t>)</w:t>
      </w:r>
      <w:r w:rsidR="00B45303" w:rsidRPr="00E77569">
        <w:rPr>
          <w:noProof/>
        </w:rPr>
        <w:t xml:space="preserve"> </w:t>
      </w:r>
      <w:r w:rsidR="00183CDA" w:rsidRPr="00E77569">
        <w:rPr>
          <w:noProof/>
        </w:rPr>
        <w:t>are added:</w:t>
      </w:r>
    </w:p>
    <w:p w14:paraId="0B5615FA" w14:textId="00BFF9E2" w:rsidR="00E834DF" w:rsidRDefault="00E834DF" w:rsidP="000C3D62">
      <w:pPr>
        <w:pStyle w:val="Text1"/>
        <w:rPr>
          <w:noProof/>
        </w:rPr>
      </w:pPr>
      <w:r>
        <w:rPr>
          <w:noProof/>
        </w:rPr>
        <w:t>‘(19)</w:t>
      </w:r>
      <w:r>
        <w:rPr>
          <w:noProof/>
        </w:rPr>
        <w:tab/>
      </w:r>
      <w:r w:rsidR="00B45303">
        <w:rPr>
          <w:noProof/>
        </w:rPr>
        <w:t>“</w:t>
      </w:r>
      <w:r w:rsidRPr="00E834DF">
        <w:rPr>
          <w:noProof/>
        </w:rPr>
        <w:t>cooperative intelligent transport systems</w:t>
      </w:r>
      <w:r w:rsidR="00B45303">
        <w:rPr>
          <w:noProof/>
        </w:rPr>
        <w:t>”</w:t>
      </w:r>
      <w:r w:rsidRPr="00E834DF">
        <w:rPr>
          <w:noProof/>
        </w:rPr>
        <w:t xml:space="preserve"> or </w:t>
      </w:r>
      <w:r w:rsidR="00B45303">
        <w:rPr>
          <w:noProof/>
        </w:rPr>
        <w:t>“</w:t>
      </w:r>
      <w:r w:rsidRPr="00E834DF">
        <w:rPr>
          <w:noProof/>
        </w:rPr>
        <w:t>C-ITS</w:t>
      </w:r>
      <w:r w:rsidR="00B45303">
        <w:rPr>
          <w:noProof/>
        </w:rPr>
        <w:t>”</w:t>
      </w:r>
      <w:r w:rsidRPr="00E834DF">
        <w:rPr>
          <w:noProof/>
        </w:rPr>
        <w:t xml:space="preserve"> means intelligent transport systems that enable ITS users to cooperate by exchanging secured and trusted messages;</w:t>
      </w:r>
    </w:p>
    <w:p w14:paraId="0E1DAEDA" w14:textId="434A150E" w:rsidR="00AB5354" w:rsidRDefault="009E65F7" w:rsidP="000C3D62">
      <w:pPr>
        <w:pStyle w:val="Text1"/>
        <w:rPr>
          <w:noProof/>
        </w:rPr>
      </w:pPr>
      <w:r>
        <w:rPr>
          <w:noProof/>
        </w:rPr>
        <w:t>(2</w:t>
      </w:r>
      <w:r w:rsidR="007E22E0">
        <w:rPr>
          <w:noProof/>
        </w:rPr>
        <w:t>0</w:t>
      </w:r>
      <w:r>
        <w:rPr>
          <w:noProof/>
        </w:rPr>
        <w:t>)</w:t>
      </w:r>
      <w:r>
        <w:rPr>
          <w:noProof/>
        </w:rPr>
        <w:tab/>
      </w:r>
      <w:r w:rsidR="00C95519">
        <w:rPr>
          <w:noProof/>
        </w:rPr>
        <w:t>“</w:t>
      </w:r>
      <w:r w:rsidRPr="009E65F7">
        <w:rPr>
          <w:noProof/>
        </w:rPr>
        <w:t>C-ITS service</w:t>
      </w:r>
      <w:r w:rsidR="00C95519">
        <w:rPr>
          <w:noProof/>
        </w:rPr>
        <w:t>”</w:t>
      </w:r>
      <w:r w:rsidRPr="009E65F7">
        <w:rPr>
          <w:noProof/>
        </w:rPr>
        <w:t xml:space="preserve"> means an ITS service provided through C- ITS;</w:t>
      </w:r>
    </w:p>
    <w:p w14:paraId="23C9A6F5" w14:textId="5A81D60E" w:rsidR="009E65F7" w:rsidRDefault="00936DAC" w:rsidP="000C3D62">
      <w:pPr>
        <w:pStyle w:val="Text1"/>
        <w:rPr>
          <w:noProof/>
        </w:rPr>
      </w:pPr>
      <w:r>
        <w:rPr>
          <w:noProof/>
        </w:rPr>
        <w:t>(2</w:t>
      </w:r>
      <w:r w:rsidR="007E22E0">
        <w:rPr>
          <w:noProof/>
        </w:rPr>
        <w:t>1</w:t>
      </w:r>
      <w:r>
        <w:rPr>
          <w:noProof/>
        </w:rPr>
        <w:t>)</w:t>
      </w:r>
      <w:r>
        <w:rPr>
          <w:noProof/>
        </w:rPr>
        <w:tab/>
      </w:r>
      <w:r w:rsidR="00C95519">
        <w:rPr>
          <w:noProof/>
        </w:rPr>
        <w:t>“</w:t>
      </w:r>
      <w:r w:rsidRPr="00936DAC">
        <w:rPr>
          <w:noProof/>
        </w:rPr>
        <w:t>availability of the data</w:t>
      </w:r>
      <w:r w:rsidR="00C95519">
        <w:rPr>
          <w:noProof/>
        </w:rPr>
        <w:t>”</w:t>
      </w:r>
      <w:r w:rsidRPr="00936DAC">
        <w:rPr>
          <w:noProof/>
        </w:rPr>
        <w:t xml:space="preserve"> means the existence of data in a digital machine-readable format;</w:t>
      </w:r>
    </w:p>
    <w:p w14:paraId="28A3AE41" w14:textId="45E28279" w:rsidR="00C95519" w:rsidRDefault="00C95519" w:rsidP="00C95519">
      <w:pPr>
        <w:pStyle w:val="Text1"/>
        <w:rPr>
          <w:noProof/>
        </w:rPr>
      </w:pPr>
      <w:r>
        <w:rPr>
          <w:noProof/>
        </w:rPr>
        <w:t>(2</w:t>
      </w:r>
      <w:r w:rsidR="007E22E0">
        <w:rPr>
          <w:noProof/>
        </w:rPr>
        <w:t>2</w:t>
      </w:r>
      <w:r>
        <w:rPr>
          <w:noProof/>
        </w:rPr>
        <w:t>)</w:t>
      </w:r>
      <w:r>
        <w:rPr>
          <w:noProof/>
        </w:rPr>
        <w:tab/>
        <w:t>“</w:t>
      </w:r>
      <w:r w:rsidRPr="006E03D3">
        <w:rPr>
          <w:noProof/>
        </w:rPr>
        <w:t>National Access Point</w:t>
      </w:r>
      <w:r>
        <w:rPr>
          <w:noProof/>
        </w:rPr>
        <w:t>”</w:t>
      </w:r>
      <w:r w:rsidRPr="006E03D3">
        <w:rPr>
          <w:noProof/>
        </w:rPr>
        <w:t xml:space="preserve"> means a digital interface set up by a Member State that constitutes a single point of access to data, as defined in specifications adopted pursuant to Article 6</w:t>
      </w:r>
      <w:r>
        <w:rPr>
          <w:noProof/>
        </w:rPr>
        <w:t>;</w:t>
      </w:r>
    </w:p>
    <w:p w14:paraId="0A16C81B" w14:textId="06331FA6" w:rsidR="00936DAC" w:rsidRDefault="00936DAC" w:rsidP="00C95519">
      <w:pPr>
        <w:pStyle w:val="Text1"/>
        <w:rPr>
          <w:noProof/>
        </w:rPr>
      </w:pPr>
      <w:r>
        <w:rPr>
          <w:noProof/>
        </w:rPr>
        <w:t>(23)</w:t>
      </w:r>
      <w:r>
        <w:rPr>
          <w:noProof/>
        </w:rPr>
        <w:tab/>
      </w:r>
      <w:r w:rsidR="00BF6917">
        <w:rPr>
          <w:noProof/>
        </w:rPr>
        <w:t>“</w:t>
      </w:r>
      <w:r w:rsidRPr="00936DAC">
        <w:rPr>
          <w:noProof/>
        </w:rPr>
        <w:t>accessibility of the data</w:t>
      </w:r>
      <w:r w:rsidR="00BF6917">
        <w:rPr>
          <w:noProof/>
        </w:rPr>
        <w:t>”</w:t>
      </w:r>
      <w:r w:rsidRPr="00936DAC">
        <w:rPr>
          <w:noProof/>
        </w:rPr>
        <w:t xml:space="preserve"> means a possibility to request and obtain data in a digital machine</w:t>
      </w:r>
      <w:r w:rsidR="00C95519">
        <w:rPr>
          <w:noProof/>
        </w:rPr>
        <w:t>-</w:t>
      </w:r>
      <w:r w:rsidRPr="00936DAC">
        <w:rPr>
          <w:noProof/>
        </w:rPr>
        <w:t>readable format via National Access Points;</w:t>
      </w:r>
    </w:p>
    <w:p w14:paraId="62FC72A6" w14:textId="2095BA4B" w:rsidR="006E03D3" w:rsidRDefault="00D93806" w:rsidP="000C3D62">
      <w:pPr>
        <w:pStyle w:val="Text1"/>
        <w:rPr>
          <w:noProof/>
        </w:rPr>
      </w:pPr>
      <w:r>
        <w:rPr>
          <w:noProof/>
        </w:rPr>
        <w:t>(2</w:t>
      </w:r>
      <w:r w:rsidR="007E22E0">
        <w:rPr>
          <w:noProof/>
        </w:rPr>
        <w:t>4</w:t>
      </w:r>
      <w:r>
        <w:rPr>
          <w:noProof/>
        </w:rPr>
        <w:t>)</w:t>
      </w:r>
      <w:r>
        <w:rPr>
          <w:noProof/>
        </w:rPr>
        <w:tab/>
      </w:r>
      <w:r w:rsidR="000C4816">
        <w:rPr>
          <w:noProof/>
        </w:rPr>
        <w:t>“</w:t>
      </w:r>
      <w:r w:rsidRPr="00D93806">
        <w:rPr>
          <w:noProof/>
        </w:rPr>
        <w:t>multimodal digital mobility service</w:t>
      </w:r>
      <w:r w:rsidR="000C4816">
        <w:rPr>
          <w:noProof/>
        </w:rPr>
        <w:t>”</w:t>
      </w:r>
      <w:r w:rsidRPr="00D93806">
        <w:rPr>
          <w:noProof/>
        </w:rPr>
        <w:t xml:space="preserve"> means </w:t>
      </w:r>
      <w:r w:rsidR="00D17D60">
        <w:rPr>
          <w:noProof/>
        </w:rPr>
        <w:t>a service</w:t>
      </w:r>
      <w:r w:rsidR="00D17D60" w:rsidRPr="00D93806">
        <w:rPr>
          <w:noProof/>
        </w:rPr>
        <w:t xml:space="preserve"> </w:t>
      </w:r>
      <w:r w:rsidRPr="00D93806">
        <w:rPr>
          <w:noProof/>
        </w:rPr>
        <w:t xml:space="preserve">providing </w:t>
      </w:r>
      <w:r w:rsidR="001371AA">
        <w:rPr>
          <w:noProof/>
        </w:rPr>
        <w:t xml:space="preserve">information on </w:t>
      </w:r>
      <w:r w:rsidR="00642022">
        <w:rPr>
          <w:noProof/>
        </w:rPr>
        <w:t xml:space="preserve">traffic and </w:t>
      </w:r>
      <w:r w:rsidR="00B56F21">
        <w:rPr>
          <w:noProof/>
        </w:rPr>
        <w:t xml:space="preserve">travel </w:t>
      </w:r>
      <w:r w:rsidR="001371AA">
        <w:rPr>
          <w:noProof/>
        </w:rPr>
        <w:t>data</w:t>
      </w:r>
      <w:r w:rsidR="001371AA" w:rsidRPr="00D93806">
        <w:rPr>
          <w:noProof/>
        </w:rPr>
        <w:t xml:space="preserve"> </w:t>
      </w:r>
      <w:r w:rsidR="00296EA5">
        <w:rPr>
          <w:noProof/>
        </w:rPr>
        <w:t>such as</w:t>
      </w:r>
      <w:r w:rsidR="00642022">
        <w:rPr>
          <w:noProof/>
        </w:rPr>
        <w:t xml:space="preserve"> </w:t>
      </w:r>
      <w:r w:rsidRPr="00D93806">
        <w:rPr>
          <w:noProof/>
        </w:rPr>
        <w:t xml:space="preserve">location of transport facilities, schedules, availability </w:t>
      </w:r>
      <w:r w:rsidR="00A411E0">
        <w:rPr>
          <w:noProof/>
        </w:rPr>
        <w:t>or</w:t>
      </w:r>
      <w:r w:rsidR="00A411E0" w:rsidRPr="00D93806">
        <w:rPr>
          <w:noProof/>
        </w:rPr>
        <w:t xml:space="preserve"> </w:t>
      </w:r>
      <w:r w:rsidRPr="00D93806">
        <w:rPr>
          <w:noProof/>
        </w:rPr>
        <w:t xml:space="preserve">fares </w:t>
      </w:r>
      <w:r w:rsidR="004E4AD6">
        <w:rPr>
          <w:noProof/>
        </w:rPr>
        <w:t xml:space="preserve">for more than </w:t>
      </w:r>
      <w:r w:rsidR="007112CC">
        <w:rPr>
          <w:noProof/>
        </w:rPr>
        <w:t>one transport mode</w:t>
      </w:r>
      <w:r w:rsidRPr="00D93806">
        <w:rPr>
          <w:noProof/>
        </w:rPr>
        <w:t xml:space="preserve">, </w:t>
      </w:r>
      <w:r w:rsidR="00BF6917" w:rsidRPr="00BF6917">
        <w:rPr>
          <w:noProof/>
        </w:rPr>
        <w:t>which may include</w:t>
      </w:r>
      <w:r w:rsidRPr="00D93806">
        <w:rPr>
          <w:noProof/>
        </w:rPr>
        <w:t xml:space="preserve"> features </w:t>
      </w:r>
      <w:r w:rsidR="002E60A3">
        <w:rPr>
          <w:noProof/>
        </w:rPr>
        <w:t>enabling the making of</w:t>
      </w:r>
      <w:r w:rsidRPr="00D93806">
        <w:rPr>
          <w:noProof/>
        </w:rPr>
        <w:t xml:space="preserve"> reservations, bookings</w:t>
      </w:r>
      <w:r w:rsidR="002E60A3">
        <w:rPr>
          <w:noProof/>
        </w:rPr>
        <w:t xml:space="preserve"> or</w:t>
      </w:r>
      <w:r w:rsidR="002E60A3" w:rsidRPr="00D93806">
        <w:rPr>
          <w:noProof/>
        </w:rPr>
        <w:t xml:space="preserve"> </w:t>
      </w:r>
      <w:r w:rsidRPr="00D93806">
        <w:rPr>
          <w:noProof/>
        </w:rPr>
        <w:t xml:space="preserve">payments </w:t>
      </w:r>
      <w:r w:rsidR="002E60A3" w:rsidRPr="002E60A3">
        <w:rPr>
          <w:noProof/>
        </w:rPr>
        <w:t>or the issuing of</w:t>
      </w:r>
      <w:r w:rsidRPr="00D93806">
        <w:rPr>
          <w:noProof/>
        </w:rPr>
        <w:t xml:space="preserve"> tickets</w:t>
      </w:r>
      <w:r>
        <w:rPr>
          <w:noProof/>
        </w:rPr>
        <w:t>.</w:t>
      </w:r>
      <w:r w:rsidRPr="00D93806">
        <w:rPr>
          <w:noProof/>
        </w:rPr>
        <w:t>’</w:t>
      </w:r>
      <w:r w:rsidR="0049305E">
        <w:rPr>
          <w:noProof/>
        </w:rPr>
        <w:t>;</w:t>
      </w:r>
    </w:p>
    <w:p w14:paraId="09C74048" w14:textId="7377D744" w:rsidR="00755B84" w:rsidRDefault="00E01660" w:rsidP="00E01660">
      <w:pPr>
        <w:pStyle w:val="Point0"/>
        <w:rPr>
          <w:noProof/>
        </w:rPr>
      </w:pPr>
      <w:r w:rsidRPr="00E01660">
        <w:t>(4)</w:t>
      </w:r>
      <w:r w:rsidRPr="00E01660">
        <w:tab/>
      </w:r>
      <w:r w:rsidR="00251378" w:rsidRPr="00251378">
        <w:rPr>
          <w:noProof/>
        </w:rPr>
        <w:t>Article 5 is replaced by the following</w:t>
      </w:r>
      <w:r w:rsidR="00755B84">
        <w:rPr>
          <w:noProof/>
        </w:rPr>
        <w:t>:</w:t>
      </w:r>
    </w:p>
    <w:p w14:paraId="3BF9D097" w14:textId="3EBB46D5" w:rsidR="00B66469" w:rsidRPr="000C3D62" w:rsidRDefault="00B66469" w:rsidP="00260B2F">
      <w:pPr>
        <w:pStyle w:val="Text1"/>
        <w:rPr>
          <w:i/>
          <w:noProof/>
        </w:rPr>
      </w:pPr>
      <w:r w:rsidRPr="000C3D62">
        <w:rPr>
          <w:i/>
          <w:noProof/>
        </w:rPr>
        <w:t>‘Article 5</w:t>
      </w:r>
    </w:p>
    <w:p w14:paraId="79C400CD" w14:textId="5B43948D" w:rsidR="00B66469" w:rsidRPr="000C3D62" w:rsidRDefault="000F5510" w:rsidP="00260B2F">
      <w:pPr>
        <w:pStyle w:val="Text1"/>
        <w:rPr>
          <w:b/>
          <w:noProof/>
        </w:rPr>
      </w:pPr>
      <w:r w:rsidRPr="000C3D62">
        <w:rPr>
          <w:b/>
          <w:noProof/>
        </w:rPr>
        <w:t>Application of specifications to the deployment of ITS</w:t>
      </w:r>
    </w:p>
    <w:p w14:paraId="6F5FB168" w14:textId="7A21D8E3" w:rsidR="00EB51C0" w:rsidRPr="006A68D6" w:rsidRDefault="000F62FB" w:rsidP="003D1CDF">
      <w:pPr>
        <w:pStyle w:val="Text1"/>
        <w:rPr>
          <w:noProof/>
          <w:lang w:eastAsia="en-GB"/>
        </w:rPr>
      </w:pPr>
      <w:r>
        <w:rPr>
          <w:noProof/>
          <w:lang w:eastAsia="en-GB"/>
        </w:rPr>
        <w:t xml:space="preserve">1. </w:t>
      </w:r>
      <w:r w:rsidR="00EB51C0" w:rsidRPr="006A68D6">
        <w:rPr>
          <w:noProof/>
          <w:lang w:eastAsia="en-GB"/>
        </w:rPr>
        <w:t>Member States shall take the necessary measures to ensure that the specifications adopted by the Commission in accordance with Article 6 are applied to ITS applications and services, whe</w:t>
      </w:r>
      <w:r w:rsidR="008450B0">
        <w:rPr>
          <w:noProof/>
          <w:lang w:eastAsia="en-GB"/>
        </w:rPr>
        <w:t>re</w:t>
      </w:r>
      <w:r w:rsidR="00EB51C0" w:rsidRPr="006A68D6">
        <w:rPr>
          <w:noProof/>
          <w:lang w:eastAsia="en-GB"/>
        </w:rPr>
        <w:t xml:space="preserve"> th</w:t>
      </w:r>
      <w:r w:rsidR="008450B0">
        <w:rPr>
          <w:noProof/>
          <w:lang w:eastAsia="en-GB"/>
        </w:rPr>
        <w:t>o</w:t>
      </w:r>
      <w:r w:rsidR="00EB51C0" w:rsidRPr="006A68D6">
        <w:rPr>
          <w:noProof/>
          <w:lang w:eastAsia="en-GB"/>
        </w:rPr>
        <w:t>se are deployed, in accordance with the principles in Annex II. This is without prejudice to the right of each Member State to decide on its deployment of such applications and services on its territory. This right is without prejudice to Articles 6a and 6b.</w:t>
      </w:r>
      <w:r w:rsidR="008450B0" w:rsidRPr="008450B0">
        <w:rPr>
          <w:noProof/>
          <w:lang w:eastAsia="en-GB"/>
        </w:rPr>
        <w:t xml:space="preserve"> </w:t>
      </w:r>
      <w:r w:rsidR="008450B0" w:rsidRPr="006A68D6">
        <w:rPr>
          <w:noProof/>
          <w:lang w:eastAsia="en-GB"/>
        </w:rPr>
        <w:t>Where relevant, Member States shall also cooperate on the enforcement of th</w:t>
      </w:r>
      <w:r w:rsidR="008450B0">
        <w:rPr>
          <w:noProof/>
          <w:lang w:eastAsia="en-GB"/>
        </w:rPr>
        <w:t>o</w:t>
      </w:r>
      <w:r w:rsidR="008450B0" w:rsidRPr="006A68D6">
        <w:rPr>
          <w:noProof/>
          <w:lang w:eastAsia="en-GB"/>
        </w:rPr>
        <w:t>se specifications.</w:t>
      </w:r>
    </w:p>
    <w:p w14:paraId="4525C337" w14:textId="7F8A6D74" w:rsidR="00EB51C0" w:rsidRPr="006A68D6" w:rsidRDefault="000F62FB" w:rsidP="003D1CDF">
      <w:pPr>
        <w:pStyle w:val="Text1"/>
        <w:rPr>
          <w:noProof/>
          <w:lang w:eastAsia="en-GB"/>
        </w:rPr>
      </w:pPr>
      <w:r>
        <w:rPr>
          <w:noProof/>
          <w:lang w:eastAsia="en-GB"/>
        </w:rPr>
        <w:t xml:space="preserve">2. </w:t>
      </w:r>
      <w:r w:rsidR="00EB51C0" w:rsidRPr="006A68D6">
        <w:rPr>
          <w:noProof/>
          <w:lang w:eastAsia="en-GB"/>
        </w:rPr>
        <w:t>Member States shall also cooperate in respect of the priority areas, insofar as no specifications have been adopted</w:t>
      </w:r>
      <w:r w:rsidR="00F81FE1">
        <w:rPr>
          <w:noProof/>
          <w:lang w:eastAsia="en-GB"/>
        </w:rPr>
        <w:t xml:space="preserve"> </w:t>
      </w:r>
      <w:r w:rsidR="00F81FE1" w:rsidRPr="00F81FE1">
        <w:rPr>
          <w:noProof/>
          <w:lang w:eastAsia="en-GB"/>
        </w:rPr>
        <w:t>with regard to those priority areas</w:t>
      </w:r>
      <w:r w:rsidR="00EB51C0" w:rsidRPr="006A68D6">
        <w:rPr>
          <w:noProof/>
          <w:lang w:eastAsia="en-GB"/>
        </w:rPr>
        <w:t>.</w:t>
      </w:r>
    </w:p>
    <w:p w14:paraId="54BEE620" w14:textId="67E50C26" w:rsidR="00EB51C0" w:rsidRDefault="000F62FB" w:rsidP="003D1CDF">
      <w:pPr>
        <w:pStyle w:val="Text1"/>
        <w:rPr>
          <w:noProof/>
          <w:lang w:eastAsia="en-GB"/>
        </w:rPr>
      </w:pPr>
      <w:r>
        <w:rPr>
          <w:noProof/>
          <w:lang w:eastAsia="en-GB"/>
        </w:rPr>
        <w:t xml:space="preserve">3. </w:t>
      </w:r>
      <w:r w:rsidR="00EB51C0" w:rsidRPr="006A68D6">
        <w:rPr>
          <w:noProof/>
          <w:lang w:eastAsia="en-GB"/>
        </w:rPr>
        <w:t xml:space="preserve">Member States shall also cooperate, </w:t>
      </w:r>
      <w:r w:rsidR="00F81FE1">
        <w:rPr>
          <w:noProof/>
          <w:lang w:eastAsia="en-GB"/>
        </w:rPr>
        <w:t>where</w:t>
      </w:r>
      <w:r w:rsidR="00F81FE1" w:rsidRPr="006A68D6">
        <w:rPr>
          <w:noProof/>
          <w:lang w:eastAsia="en-GB"/>
        </w:rPr>
        <w:t xml:space="preserve"> </w:t>
      </w:r>
      <w:r w:rsidR="00EB51C0" w:rsidRPr="006A68D6">
        <w:rPr>
          <w:noProof/>
          <w:lang w:eastAsia="en-GB"/>
        </w:rPr>
        <w:t>necessary with relevant stakeholders, on operational aspects of the implementation of and compliance with the specifications adopted by the Commission, such as standards and EU harmonised profiles, common definitions, common metadata, common quality requirements and aspects related to the interoperability of National Access Points’ architectures, common data exchange conditions</w:t>
      </w:r>
      <w:r w:rsidR="00F11723">
        <w:rPr>
          <w:noProof/>
          <w:lang w:eastAsia="en-GB"/>
        </w:rPr>
        <w:t xml:space="preserve">, </w:t>
      </w:r>
      <w:r w:rsidR="00F11723" w:rsidRPr="00F11723">
        <w:rPr>
          <w:noProof/>
          <w:lang w:eastAsia="en-GB"/>
        </w:rPr>
        <w:t>as well as common training and outreach activities</w:t>
      </w:r>
      <w:r w:rsidR="00EB51C0" w:rsidRPr="006A68D6">
        <w:rPr>
          <w:noProof/>
          <w:lang w:eastAsia="en-GB"/>
        </w:rPr>
        <w:t>.</w:t>
      </w:r>
      <w:r w:rsidR="004879FA">
        <w:rPr>
          <w:noProof/>
        </w:rPr>
        <w:t>’</w:t>
      </w:r>
      <w:r w:rsidR="00F81FE1">
        <w:rPr>
          <w:noProof/>
        </w:rPr>
        <w:t>;</w:t>
      </w:r>
    </w:p>
    <w:p w14:paraId="0889F822" w14:textId="04C0CCA7" w:rsidR="00997493" w:rsidRDefault="00E01660" w:rsidP="00E01660">
      <w:pPr>
        <w:pStyle w:val="Point0"/>
        <w:rPr>
          <w:noProof/>
        </w:rPr>
      </w:pPr>
      <w:r w:rsidRPr="00E01660">
        <w:t>(5)</w:t>
      </w:r>
      <w:r w:rsidRPr="00E01660">
        <w:tab/>
      </w:r>
      <w:r w:rsidR="008E23A5" w:rsidRPr="00330B4F">
        <w:rPr>
          <w:noProof/>
        </w:rPr>
        <w:t>Article 6</w:t>
      </w:r>
      <w:r w:rsidR="00997493">
        <w:rPr>
          <w:noProof/>
        </w:rPr>
        <w:t xml:space="preserve"> is amended as follows:</w:t>
      </w:r>
    </w:p>
    <w:p w14:paraId="3A8F4EF7" w14:textId="0F13C6DD" w:rsidR="00EB51C0" w:rsidRPr="003D1CDF" w:rsidRDefault="00E01660" w:rsidP="00E01660">
      <w:pPr>
        <w:pStyle w:val="Point1"/>
        <w:rPr>
          <w:noProof/>
        </w:rPr>
      </w:pPr>
      <w:r w:rsidRPr="00E01660">
        <w:t>(a)</w:t>
      </w:r>
      <w:r w:rsidRPr="00E01660">
        <w:tab/>
      </w:r>
      <w:r w:rsidR="00121B2C" w:rsidRPr="00330B4F">
        <w:rPr>
          <w:noProof/>
        </w:rPr>
        <w:t>paragraph 5</w:t>
      </w:r>
      <w:r w:rsidR="000F62FB">
        <w:rPr>
          <w:noProof/>
        </w:rPr>
        <w:t xml:space="preserve"> </w:t>
      </w:r>
      <w:r w:rsidR="000F62FB" w:rsidRPr="00997493">
        <w:rPr>
          <w:noProof/>
        </w:rPr>
        <w:t>is replaced by the following:</w:t>
      </w:r>
    </w:p>
    <w:p w14:paraId="12570727" w14:textId="56407ABB" w:rsidR="009E782C" w:rsidRDefault="009E782C" w:rsidP="003D1CDF">
      <w:pPr>
        <w:pStyle w:val="Text1"/>
        <w:rPr>
          <w:noProof/>
          <w:lang w:eastAsia="en-GB"/>
        </w:rPr>
      </w:pPr>
      <w:r>
        <w:rPr>
          <w:noProof/>
          <w:lang w:eastAsia="en-GB"/>
        </w:rPr>
        <w:t xml:space="preserve">‘5. </w:t>
      </w:r>
      <w:r w:rsidRPr="00524479">
        <w:rPr>
          <w:noProof/>
          <w:lang w:eastAsia="en-GB"/>
        </w:rPr>
        <w:t xml:space="preserve">Without prejudice to the procedures </w:t>
      </w:r>
      <w:r>
        <w:rPr>
          <w:noProof/>
          <w:lang w:eastAsia="en-GB"/>
        </w:rPr>
        <w:t>set out by</w:t>
      </w:r>
      <w:r w:rsidRPr="00524479">
        <w:rPr>
          <w:noProof/>
          <w:lang w:eastAsia="en-GB"/>
        </w:rPr>
        <w:t xml:space="preserve"> Directive (EU) 2015/1535 of the European Parliament and of the Council</w:t>
      </w:r>
      <w:r>
        <w:rPr>
          <w:noProof/>
          <w:lang w:eastAsia="en-GB"/>
        </w:rPr>
        <w:t>*,</w:t>
      </w:r>
      <w:r w:rsidRPr="00524479">
        <w:rPr>
          <w:noProof/>
          <w:lang w:eastAsia="en-GB"/>
        </w:rPr>
        <w:t xml:space="preserve"> the specifications shall, where appropriate, stipulate the conditions in which Member States may, after notification to the Commission, establish additional rules for the provision of ITS services on all or part of their territory, provided that those rules do not hinder interoperability.</w:t>
      </w:r>
      <w:r w:rsidR="00FB6B9F">
        <w:rPr>
          <w:noProof/>
          <w:lang w:eastAsia="en-GB"/>
        </w:rPr>
        <w:t>’;</w:t>
      </w:r>
    </w:p>
    <w:p w14:paraId="7EA8797D" w14:textId="0EAC9D1B" w:rsidR="00997493" w:rsidRDefault="00E01660" w:rsidP="00E01660">
      <w:pPr>
        <w:pStyle w:val="Point1"/>
        <w:rPr>
          <w:noProof/>
        </w:rPr>
      </w:pPr>
      <w:r w:rsidRPr="00E01660">
        <w:t>(b)</w:t>
      </w:r>
      <w:r w:rsidRPr="00E01660">
        <w:tab/>
      </w:r>
      <w:r w:rsidR="00997493" w:rsidRPr="00997493">
        <w:rPr>
          <w:noProof/>
        </w:rPr>
        <w:t>paragraph 6 is replaced by the following:</w:t>
      </w:r>
    </w:p>
    <w:p w14:paraId="2B8F7E9F" w14:textId="286E3ECB" w:rsidR="00997493" w:rsidRDefault="00997493" w:rsidP="00997493">
      <w:pPr>
        <w:pStyle w:val="Text1"/>
        <w:rPr>
          <w:noProof/>
          <w:lang w:eastAsia="en-GB"/>
        </w:rPr>
      </w:pPr>
      <w:r>
        <w:rPr>
          <w:noProof/>
          <w:lang w:eastAsia="en-GB"/>
        </w:rPr>
        <w:t>‘6. The specifications shall, where appropriate, be based on any standards referred to in Article 8.</w:t>
      </w:r>
    </w:p>
    <w:p w14:paraId="3AF95AE0" w14:textId="560F9BB5" w:rsidR="00997493" w:rsidRDefault="00997493" w:rsidP="00997493">
      <w:pPr>
        <w:pStyle w:val="Text1"/>
        <w:rPr>
          <w:noProof/>
          <w:lang w:eastAsia="en-GB"/>
        </w:rPr>
      </w:pPr>
      <w:r>
        <w:rPr>
          <w:noProof/>
          <w:lang w:eastAsia="en-GB"/>
        </w:rPr>
        <w:t>The specifications shall, as appropriate</w:t>
      </w:r>
      <w:r w:rsidR="000A4861">
        <w:rPr>
          <w:noProof/>
          <w:lang w:eastAsia="en-GB"/>
        </w:rPr>
        <w:t xml:space="preserve"> </w:t>
      </w:r>
      <w:r w:rsidR="000A4861" w:rsidRPr="000A4861">
        <w:rPr>
          <w:noProof/>
          <w:lang w:eastAsia="en-GB"/>
        </w:rPr>
        <w:t>and in particular where justified in the interest</w:t>
      </w:r>
      <w:r w:rsidR="000A4861">
        <w:rPr>
          <w:noProof/>
          <w:lang w:eastAsia="en-GB"/>
        </w:rPr>
        <w:t xml:space="preserve"> of safety and interoperability</w:t>
      </w:r>
      <w:r>
        <w:rPr>
          <w:noProof/>
          <w:lang w:eastAsia="en-GB"/>
        </w:rPr>
        <w:t xml:space="preserve">, </w:t>
      </w:r>
      <w:r w:rsidR="000A4861">
        <w:rPr>
          <w:noProof/>
          <w:lang w:eastAsia="en-GB"/>
        </w:rPr>
        <w:t xml:space="preserve">include rules on </w:t>
      </w:r>
      <w:r>
        <w:rPr>
          <w:noProof/>
          <w:lang w:eastAsia="en-GB"/>
        </w:rPr>
        <w:t xml:space="preserve">conformity assessment </w:t>
      </w:r>
      <w:r w:rsidR="000A4861">
        <w:rPr>
          <w:noProof/>
          <w:lang w:eastAsia="en-GB"/>
        </w:rPr>
        <w:t xml:space="preserve">and market surveillance, including a safeguard clause, </w:t>
      </w:r>
      <w:r>
        <w:rPr>
          <w:noProof/>
          <w:lang w:eastAsia="en-GB"/>
        </w:rPr>
        <w:t>in accordanc</w:t>
      </w:r>
      <w:r w:rsidR="000A4861">
        <w:rPr>
          <w:noProof/>
          <w:lang w:eastAsia="en-GB"/>
        </w:rPr>
        <w:t>e with Decision No 768/2008/EC.</w:t>
      </w:r>
    </w:p>
    <w:p w14:paraId="51FFBE50" w14:textId="5A31338E" w:rsidR="00997493" w:rsidRDefault="00997493" w:rsidP="00997493">
      <w:pPr>
        <w:pStyle w:val="Text1"/>
        <w:rPr>
          <w:noProof/>
          <w:lang w:eastAsia="en-GB"/>
        </w:rPr>
      </w:pPr>
      <w:r>
        <w:rPr>
          <w:noProof/>
          <w:lang w:eastAsia="en-GB"/>
        </w:rPr>
        <w:t>The specifications shall comply with the principles set out in Annex II.’;</w:t>
      </w:r>
    </w:p>
    <w:p w14:paraId="2FBA0CE8" w14:textId="77777777" w:rsidR="009E782C" w:rsidRDefault="009E782C" w:rsidP="00FB10EA">
      <w:pPr>
        <w:pStyle w:val="Text1"/>
        <w:rPr>
          <w:noProof/>
          <w:lang w:eastAsia="en-GB"/>
        </w:rPr>
      </w:pPr>
      <w:r>
        <w:rPr>
          <w:noProof/>
          <w:lang w:eastAsia="en-GB"/>
        </w:rPr>
        <w:t>____________</w:t>
      </w:r>
    </w:p>
    <w:p w14:paraId="4294E4C8" w14:textId="0F8DDA6E" w:rsidR="009E782C" w:rsidRPr="00330B4F" w:rsidRDefault="009E782C" w:rsidP="003D1CDF">
      <w:pPr>
        <w:pStyle w:val="Text1"/>
        <w:rPr>
          <w:noProof/>
          <w:lang w:eastAsia="en-GB"/>
        </w:rPr>
      </w:pPr>
      <w:r>
        <w:rPr>
          <w:noProof/>
          <w:lang w:eastAsia="en-GB"/>
        </w:rPr>
        <w:t xml:space="preserve">* </w:t>
      </w:r>
      <w:r w:rsidRPr="00524479">
        <w:rPr>
          <w:noProof/>
          <w:lang w:eastAsia="en-GB"/>
        </w:rPr>
        <w:t>Directive (EU) 2015/1535 of the European Parliament and of the Council</w:t>
      </w:r>
      <w:r>
        <w:rPr>
          <w:noProof/>
          <w:lang w:eastAsia="en-GB"/>
        </w:rPr>
        <w:t xml:space="preserve"> of 9 September 2015 laying down a procedure for the provision of information in the field of technical regulations and of rules on Information Society services (</w:t>
      </w:r>
      <w:r w:rsidRPr="00524479">
        <w:rPr>
          <w:noProof/>
          <w:lang w:eastAsia="en-GB"/>
        </w:rPr>
        <w:t>OJ L 241, 17.9.2015, p. 1</w:t>
      </w:r>
      <w:r>
        <w:rPr>
          <w:noProof/>
          <w:lang w:eastAsia="en-GB"/>
        </w:rPr>
        <w:t>).’;</w:t>
      </w:r>
    </w:p>
    <w:p w14:paraId="16F20072" w14:textId="47186A23" w:rsidR="003554BB" w:rsidRDefault="00E01660" w:rsidP="00E01660">
      <w:pPr>
        <w:pStyle w:val="Point0"/>
        <w:rPr>
          <w:noProof/>
        </w:rPr>
      </w:pPr>
      <w:r w:rsidRPr="00E01660">
        <w:t>(6)</w:t>
      </w:r>
      <w:r w:rsidRPr="00E01660">
        <w:tab/>
      </w:r>
      <w:r w:rsidR="00805316" w:rsidRPr="00805316">
        <w:rPr>
          <w:noProof/>
        </w:rPr>
        <w:t>The following Article</w:t>
      </w:r>
      <w:r w:rsidR="003041F3">
        <w:rPr>
          <w:noProof/>
        </w:rPr>
        <w:t>s</w:t>
      </w:r>
      <w:r w:rsidR="00805316" w:rsidRPr="00805316">
        <w:rPr>
          <w:noProof/>
        </w:rPr>
        <w:t xml:space="preserve"> </w:t>
      </w:r>
      <w:r w:rsidR="00805316">
        <w:rPr>
          <w:noProof/>
        </w:rPr>
        <w:t>6</w:t>
      </w:r>
      <w:r w:rsidR="00805316" w:rsidRPr="00805316">
        <w:rPr>
          <w:noProof/>
        </w:rPr>
        <w:t>a</w:t>
      </w:r>
      <w:r w:rsidR="003041F3">
        <w:rPr>
          <w:noProof/>
        </w:rPr>
        <w:t xml:space="preserve"> and 6b are</w:t>
      </w:r>
      <w:r w:rsidR="00805316" w:rsidRPr="00805316">
        <w:rPr>
          <w:noProof/>
        </w:rPr>
        <w:t xml:space="preserve"> inserted:</w:t>
      </w:r>
    </w:p>
    <w:p w14:paraId="45BED3F7" w14:textId="1466B94E" w:rsidR="00805316" w:rsidRPr="000C3D62" w:rsidRDefault="00A73027" w:rsidP="000C3D62">
      <w:pPr>
        <w:pStyle w:val="Text1"/>
        <w:rPr>
          <w:i/>
          <w:noProof/>
        </w:rPr>
      </w:pPr>
      <w:r w:rsidRPr="000C3D62">
        <w:rPr>
          <w:i/>
          <w:noProof/>
        </w:rPr>
        <w:t>‘Article 6a</w:t>
      </w:r>
    </w:p>
    <w:p w14:paraId="43DF93A4" w14:textId="1C7178EF" w:rsidR="00A73027" w:rsidRPr="000C3D62" w:rsidRDefault="00A73027" w:rsidP="000C3D62">
      <w:pPr>
        <w:pStyle w:val="Text1"/>
        <w:rPr>
          <w:b/>
          <w:noProof/>
        </w:rPr>
      </w:pPr>
      <w:r w:rsidRPr="000C3D62">
        <w:rPr>
          <w:b/>
          <w:noProof/>
        </w:rPr>
        <w:t>Availability of data</w:t>
      </w:r>
    </w:p>
    <w:p w14:paraId="0B88DCF5" w14:textId="62956E09" w:rsidR="00460E2D" w:rsidRDefault="00A73027" w:rsidP="000C3D62">
      <w:pPr>
        <w:pStyle w:val="Text1"/>
        <w:rPr>
          <w:noProof/>
        </w:rPr>
      </w:pPr>
      <w:r w:rsidRPr="00A73027">
        <w:rPr>
          <w:noProof/>
        </w:rPr>
        <w:t xml:space="preserve">Member States shall ensure that for </w:t>
      </w:r>
      <w:r w:rsidR="003011A1">
        <w:rPr>
          <w:noProof/>
        </w:rPr>
        <w:t>each</w:t>
      </w:r>
      <w:r w:rsidR="003011A1" w:rsidRPr="00A73027">
        <w:rPr>
          <w:noProof/>
        </w:rPr>
        <w:t xml:space="preserve"> </w:t>
      </w:r>
      <w:r w:rsidRPr="00A73027">
        <w:rPr>
          <w:noProof/>
        </w:rPr>
        <w:t>data type listed in Annex III</w:t>
      </w:r>
      <w:r w:rsidR="003011A1">
        <w:rPr>
          <w:noProof/>
        </w:rPr>
        <w:t>,</w:t>
      </w:r>
      <w:r w:rsidRPr="00A73027">
        <w:rPr>
          <w:noProof/>
        </w:rPr>
        <w:t xml:space="preserve"> </w:t>
      </w:r>
      <w:r w:rsidR="003011A1">
        <w:rPr>
          <w:noProof/>
        </w:rPr>
        <w:t xml:space="preserve">data is available </w:t>
      </w:r>
      <w:r w:rsidR="0077478C">
        <w:rPr>
          <w:noProof/>
        </w:rPr>
        <w:t>for</w:t>
      </w:r>
      <w:r w:rsidR="0077478C" w:rsidRPr="00A73027">
        <w:rPr>
          <w:noProof/>
        </w:rPr>
        <w:t xml:space="preserve"> </w:t>
      </w:r>
      <w:r w:rsidRPr="00A73027">
        <w:rPr>
          <w:noProof/>
        </w:rPr>
        <w:t xml:space="preserve">the geographical coverage </w:t>
      </w:r>
      <w:r w:rsidR="003011A1">
        <w:rPr>
          <w:noProof/>
        </w:rPr>
        <w:t xml:space="preserve">relative </w:t>
      </w:r>
      <w:r w:rsidR="0077478C">
        <w:rPr>
          <w:noProof/>
        </w:rPr>
        <w:t xml:space="preserve">to </w:t>
      </w:r>
      <w:r w:rsidR="003011A1">
        <w:rPr>
          <w:noProof/>
        </w:rPr>
        <w:t>such</w:t>
      </w:r>
      <w:r w:rsidR="003011A1" w:rsidRPr="00A73027">
        <w:rPr>
          <w:noProof/>
        </w:rPr>
        <w:t xml:space="preserve"> </w:t>
      </w:r>
      <w:r w:rsidRPr="00A73027">
        <w:rPr>
          <w:noProof/>
        </w:rPr>
        <w:t>data type</w:t>
      </w:r>
      <w:r w:rsidR="003011A1">
        <w:rPr>
          <w:noProof/>
        </w:rPr>
        <w:t xml:space="preserve"> as early as possible and no later than</w:t>
      </w:r>
      <w:r w:rsidR="003011A1" w:rsidRPr="003011A1">
        <w:rPr>
          <w:noProof/>
        </w:rPr>
        <w:t xml:space="preserve"> </w:t>
      </w:r>
      <w:r w:rsidR="003011A1">
        <w:rPr>
          <w:noProof/>
        </w:rPr>
        <w:t>the respective date set out</w:t>
      </w:r>
      <w:r w:rsidRPr="00A73027">
        <w:rPr>
          <w:noProof/>
        </w:rPr>
        <w:t xml:space="preserve"> in </w:t>
      </w:r>
      <w:r w:rsidR="003011A1">
        <w:rPr>
          <w:noProof/>
        </w:rPr>
        <w:t xml:space="preserve">that </w:t>
      </w:r>
      <w:r w:rsidRPr="00A73027">
        <w:rPr>
          <w:noProof/>
        </w:rPr>
        <w:t>Annex.</w:t>
      </w:r>
    </w:p>
    <w:p w14:paraId="48393241" w14:textId="19AB34BA" w:rsidR="00A73027" w:rsidRDefault="00A73027" w:rsidP="000C3D62">
      <w:pPr>
        <w:pStyle w:val="Text1"/>
        <w:rPr>
          <w:noProof/>
        </w:rPr>
      </w:pPr>
      <w:r w:rsidRPr="00A73027">
        <w:rPr>
          <w:noProof/>
        </w:rPr>
        <w:t>Member States shall ensure the accessibility of th</w:t>
      </w:r>
      <w:r w:rsidR="003011A1">
        <w:rPr>
          <w:noProof/>
        </w:rPr>
        <w:t>at</w:t>
      </w:r>
      <w:r w:rsidRPr="00A73027">
        <w:rPr>
          <w:noProof/>
        </w:rPr>
        <w:t xml:space="preserve"> data on the National Access Points</w:t>
      </w:r>
      <w:r w:rsidR="008A3D72">
        <w:rPr>
          <w:noProof/>
        </w:rPr>
        <w:t xml:space="preserve"> by the same date</w:t>
      </w:r>
      <w:r w:rsidRPr="00A73027">
        <w:rPr>
          <w:noProof/>
        </w:rPr>
        <w:t>.</w:t>
      </w:r>
    </w:p>
    <w:p w14:paraId="3DFA29C7" w14:textId="581274CC" w:rsidR="00A73027" w:rsidRPr="000C3D62" w:rsidRDefault="00A73027" w:rsidP="000C3D62">
      <w:pPr>
        <w:pStyle w:val="Text1"/>
        <w:rPr>
          <w:i/>
          <w:noProof/>
        </w:rPr>
      </w:pPr>
      <w:r w:rsidRPr="000C3D62">
        <w:rPr>
          <w:i/>
          <w:noProof/>
        </w:rPr>
        <w:t>Article 6b</w:t>
      </w:r>
    </w:p>
    <w:p w14:paraId="7D8DCF15" w14:textId="4DA4B194" w:rsidR="00A73027" w:rsidRPr="000C3D62" w:rsidRDefault="005B134A" w:rsidP="000C3D62">
      <w:pPr>
        <w:pStyle w:val="Text1"/>
        <w:rPr>
          <w:b/>
          <w:noProof/>
        </w:rPr>
      </w:pPr>
      <w:r w:rsidRPr="000C3D62">
        <w:rPr>
          <w:b/>
          <w:noProof/>
        </w:rPr>
        <w:t>Deployment of ITS services</w:t>
      </w:r>
    </w:p>
    <w:p w14:paraId="423D4E89" w14:textId="700D23EB" w:rsidR="005B134A" w:rsidRDefault="00AE772B" w:rsidP="000C3D62">
      <w:pPr>
        <w:pStyle w:val="Text1"/>
        <w:rPr>
          <w:noProof/>
        </w:rPr>
      </w:pPr>
      <w:r w:rsidRPr="00AE772B">
        <w:rPr>
          <w:noProof/>
        </w:rPr>
        <w:t xml:space="preserve">Member States shall ensure that the ITS services </w:t>
      </w:r>
      <w:r w:rsidR="00F21941">
        <w:rPr>
          <w:noProof/>
        </w:rPr>
        <w:t>specifi</w:t>
      </w:r>
      <w:r w:rsidRPr="00AE772B">
        <w:rPr>
          <w:noProof/>
        </w:rPr>
        <w:t xml:space="preserve">ed in Annex IV are deployed </w:t>
      </w:r>
      <w:r w:rsidR="00F21941">
        <w:rPr>
          <w:noProof/>
        </w:rPr>
        <w:t>for</w:t>
      </w:r>
      <w:r w:rsidR="00F21941" w:rsidRPr="00AE772B">
        <w:rPr>
          <w:noProof/>
        </w:rPr>
        <w:t xml:space="preserve"> </w:t>
      </w:r>
      <w:r w:rsidRPr="00AE772B">
        <w:rPr>
          <w:noProof/>
        </w:rPr>
        <w:t xml:space="preserve">the geographical coverage </w:t>
      </w:r>
      <w:r w:rsidR="00E677A8">
        <w:rPr>
          <w:noProof/>
        </w:rPr>
        <w:t xml:space="preserve">set out in that </w:t>
      </w:r>
      <w:r w:rsidRPr="00AE772B">
        <w:rPr>
          <w:noProof/>
        </w:rPr>
        <w:t>Annex</w:t>
      </w:r>
      <w:r w:rsidR="00E677A8" w:rsidRPr="00E677A8">
        <w:rPr>
          <w:noProof/>
        </w:rPr>
        <w:t xml:space="preserve"> </w:t>
      </w:r>
      <w:r w:rsidR="00E677A8">
        <w:rPr>
          <w:noProof/>
        </w:rPr>
        <w:t>by the date specified therein</w:t>
      </w:r>
      <w:r w:rsidRPr="00AE772B">
        <w:rPr>
          <w:noProof/>
        </w:rPr>
        <w:t>.</w:t>
      </w:r>
      <w:r>
        <w:rPr>
          <w:noProof/>
        </w:rPr>
        <w:t>’</w:t>
      </w:r>
      <w:r w:rsidR="00E677A8">
        <w:rPr>
          <w:noProof/>
        </w:rPr>
        <w:t>;</w:t>
      </w:r>
    </w:p>
    <w:p w14:paraId="15BAA516" w14:textId="3DDC4A3A" w:rsidR="00A73027" w:rsidRDefault="00E01660" w:rsidP="00E01660">
      <w:pPr>
        <w:pStyle w:val="Point0"/>
        <w:rPr>
          <w:noProof/>
        </w:rPr>
      </w:pPr>
      <w:r w:rsidRPr="00E01660">
        <w:t>(7)</w:t>
      </w:r>
      <w:r w:rsidRPr="00E01660">
        <w:tab/>
      </w:r>
      <w:r w:rsidR="00B325F8" w:rsidRPr="007665DE">
        <w:rPr>
          <w:noProof/>
        </w:rPr>
        <w:t>Arti</w:t>
      </w:r>
      <w:r w:rsidR="00B325F8" w:rsidRPr="008E23A5">
        <w:rPr>
          <w:noProof/>
        </w:rPr>
        <w:t xml:space="preserve">cle </w:t>
      </w:r>
      <w:r w:rsidR="00B325F8">
        <w:rPr>
          <w:noProof/>
        </w:rPr>
        <w:t>7</w:t>
      </w:r>
      <w:r w:rsidR="004D1780" w:rsidRPr="004D1780">
        <w:rPr>
          <w:noProof/>
        </w:rPr>
        <w:t xml:space="preserve"> </w:t>
      </w:r>
      <w:r w:rsidR="004D1780">
        <w:rPr>
          <w:noProof/>
        </w:rPr>
        <w:t>is amended as follows:</w:t>
      </w:r>
    </w:p>
    <w:p w14:paraId="7C2F7CE5" w14:textId="285AC8F6" w:rsidR="00B325F8" w:rsidRDefault="00E01660" w:rsidP="00E01660">
      <w:pPr>
        <w:pStyle w:val="Point1"/>
        <w:rPr>
          <w:noProof/>
        </w:rPr>
      </w:pPr>
      <w:r w:rsidRPr="00E01660">
        <w:t>(a)</w:t>
      </w:r>
      <w:r w:rsidRPr="00E01660">
        <w:tab/>
      </w:r>
      <w:r w:rsidR="00AE2E74" w:rsidRPr="00AE2E74">
        <w:rPr>
          <w:noProof/>
        </w:rPr>
        <w:t>the following paragraph</w:t>
      </w:r>
      <w:r w:rsidR="00AE2E74">
        <w:rPr>
          <w:noProof/>
        </w:rPr>
        <w:t xml:space="preserve">s </w:t>
      </w:r>
      <w:r w:rsidR="007439DB">
        <w:rPr>
          <w:noProof/>
        </w:rPr>
        <w:t>1a and 1b</w:t>
      </w:r>
      <w:r w:rsidR="00434B0F">
        <w:rPr>
          <w:noProof/>
        </w:rPr>
        <w:t xml:space="preserve"> </w:t>
      </w:r>
      <w:r w:rsidR="00AE2E74">
        <w:rPr>
          <w:noProof/>
        </w:rPr>
        <w:t>are</w:t>
      </w:r>
      <w:r w:rsidR="00AE2E74" w:rsidRPr="00AE2E74">
        <w:rPr>
          <w:noProof/>
        </w:rPr>
        <w:t xml:space="preserve"> inserted:</w:t>
      </w:r>
    </w:p>
    <w:p w14:paraId="10CD6D88" w14:textId="6B71E38B" w:rsidR="00AE2E74" w:rsidRDefault="00604DE7" w:rsidP="000C3D62">
      <w:pPr>
        <w:pStyle w:val="Text1"/>
        <w:rPr>
          <w:noProof/>
        </w:rPr>
      </w:pPr>
      <w:r>
        <w:rPr>
          <w:noProof/>
        </w:rPr>
        <w:t>‘1a</w:t>
      </w:r>
      <w:r w:rsidR="006779E3">
        <w:rPr>
          <w:noProof/>
        </w:rPr>
        <w:t>.</w:t>
      </w:r>
      <w:r>
        <w:rPr>
          <w:noProof/>
        </w:rPr>
        <w:tab/>
      </w:r>
      <w:r w:rsidR="008B5775" w:rsidRPr="008B5775">
        <w:rPr>
          <w:noProof/>
        </w:rPr>
        <w:t>Following a cost-benefit analysis</w:t>
      </w:r>
      <w:r w:rsidR="008B5775">
        <w:rPr>
          <w:noProof/>
        </w:rPr>
        <w:t xml:space="preserve"> and </w:t>
      </w:r>
      <w:r w:rsidRPr="00604DE7">
        <w:rPr>
          <w:noProof/>
        </w:rPr>
        <w:t>an impact assessment</w:t>
      </w:r>
      <w:r w:rsidR="00F209B5" w:rsidRPr="00F209B5">
        <w:rPr>
          <w:noProof/>
        </w:rPr>
        <w:t xml:space="preserve"> </w:t>
      </w:r>
      <w:r w:rsidR="00F209B5">
        <w:rPr>
          <w:noProof/>
        </w:rPr>
        <w:t>including appropriate consultations</w:t>
      </w:r>
      <w:r w:rsidRPr="00604DE7">
        <w:rPr>
          <w:noProof/>
        </w:rPr>
        <w:t xml:space="preserve">, the Commission </w:t>
      </w:r>
      <w:r w:rsidR="006779E3">
        <w:rPr>
          <w:noProof/>
        </w:rPr>
        <w:t>is empowered to</w:t>
      </w:r>
      <w:r w:rsidR="006779E3" w:rsidRPr="00604DE7">
        <w:rPr>
          <w:noProof/>
        </w:rPr>
        <w:t xml:space="preserve"> </w:t>
      </w:r>
      <w:r w:rsidRPr="00604DE7">
        <w:rPr>
          <w:noProof/>
        </w:rPr>
        <w:t xml:space="preserve">adopt delegated acts </w:t>
      </w:r>
      <w:r w:rsidR="006779E3">
        <w:rPr>
          <w:noProof/>
        </w:rPr>
        <w:t xml:space="preserve">in accordance with Article 12 </w:t>
      </w:r>
      <w:r w:rsidR="008B5775">
        <w:rPr>
          <w:noProof/>
        </w:rPr>
        <w:t>to amend</w:t>
      </w:r>
      <w:r w:rsidRPr="00604DE7">
        <w:rPr>
          <w:noProof/>
        </w:rPr>
        <w:t xml:space="preserve"> the list of data types in Annex III, including the date of implementation and the geographical coverage for each data type</w:t>
      </w:r>
      <w:r w:rsidR="006779E3">
        <w:rPr>
          <w:noProof/>
        </w:rPr>
        <w:t>. Those amendments shall be consistent with</w:t>
      </w:r>
      <w:r w:rsidR="008B5775">
        <w:rPr>
          <w:noProof/>
        </w:rPr>
        <w:t xml:space="preserve"> the data categories set out in the latest working programme adopted in accordance with</w:t>
      </w:r>
      <w:r w:rsidR="008B5775" w:rsidRPr="0079300E">
        <w:rPr>
          <w:noProof/>
        </w:rPr>
        <w:t xml:space="preserve"> Article 17(5)</w:t>
      </w:r>
      <w:r w:rsidRPr="00604DE7">
        <w:rPr>
          <w:noProof/>
        </w:rPr>
        <w:t>.</w:t>
      </w:r>
    </w:p>
    <w:p w14:paraId="6A2C564D" w14:textId="4CB9B5E8" w:rsidR="00604DE7" w:rsidRDefault="00604DE7" w:rsidP="000C3D62">
      <w:pPr>
        <w:pStyle w:val="Text1"/>
        <w:rPr>
          <w:noProof/>
        </w:rPr>
      </w:pPr>
      <w:r>
        <w:rPr>
          <w:noProof/>
        </w:rPr>
        <w:t>1b</w:t>
      </w:r>
      <w:r w:rsidR="00420386">
        <w:rPr>
          <w:noProof/>
        </w:rPr>
        <w:t>.</w:t>
      </w:r>
      <w:r>
        <w:rPr>
          <w:noProof/>
        </w:rPr>
        <w:tab/>
      </w:r>
      <w:r w:rsidR="00160535">
        <w:rPr>
          <w:noProof/>
        </w:rPr>
        <w:t xml:space="preserve">Following a cost-benefit analysis </w:t>
      </w:r>
      <w:r w:rsidR="00CD5A83" w:rsidRPr="00CD5A83">
        <w:rPr>
          <w:noProof/>
        </w:rPr>
        <w:t xml:space="preserve">taking due account of market developments and technology evolution </w:t>
      </w:r>
      <w:r w:rsidR="00160535">
        <w:rPr>
          <w:noProof/>
        </w:rPr>
        <w:t>and</w:t>
      </w:r>
      <w:r w:rsidR="00830A1B" w:rsidRPr="00830A1B">
        <w:rPr>
          <w:noProof/>
        </w:rPr>
        <w:t xml:space="preserve"> an impact assessment</w:t>
      </w:r>
      <w:r w:rsidR="00F209B5">
        <w:rPr>
          <w:noProof/>
        </w:rPr>
        <w:t xml:space="preserve"> including appropriate consultations</w:t>
      </w:r>
      <w:r w:rsidR="00160535">
        <w:rPr>
          <w:noProof/>
        </w:rPr>
        <w:t xml:space="preserve">, </w:t>
      </w:r>
      <w:r w:rsidR="00830A1B" w:rsidRPr="00830A1B">
        <w:rPr>
          <w:noProof/>
        </w:rPr>
        <w:t xml:space="preserve">the Commission </w:t>
      </w:r>
      <w:r w:rsidR="006801FE">
        <w:rPr>
          <w:noProof/>
        </w:rPr>
        <w:t>is empowered to</w:t>
      </w:r>
      <w:r w:rsidR="006801FE" w:rsidRPr="00604DE7">
        <w:rPr>
          <w:noProof/>
        </w:rPr>
        <w:t xml:space="preserve"> </w:t>
      </w:r>
      <w:r w:rsidR="00830A1B" w:rsidRPr="00830A1B">
        <w:rPr>
          <w:noProof/>
        </w:rPr>
        <w:t xml:space="preserve">adopt delegated acts </w:t>
      </w:r>
      <w:r w:rsidR="006801FE">
        <w:rPr>
          <w:noProof/>
        </w:rPr>
        <w:t xml:space="preserve">in accordance with Article 12 </w:t>
      </w:r>
      <w:r w:rsidR="00160535">
        <w:rPr>
          <w:noProof/>
        </w:rPr>
        <w:t>t</w:t>
      </w:r>
      <w:r w:rsidR="00830A1B" w:rsidRPr="00830A1B">
        <w:rPr>
          <w:noProof/>
        </w:rPr>
        <w:t>o</w:t>
      </w:r>
      <w:r w:rsidR="00160535">
        <w:rPr>
          <w:noProof/>
        </w:rPr>
        <w:t xml:space="preserve"> amend</w:t>
      </w:r>
      <w:r w:rsidR="00830A1B" w:rsidRPr="00830A1B">
        <w:rPr>
          <w:noProof/>
        </w:rPr>
        <w:t xml:space="preserve"> the list of ITS services in Annex IV, including the date of implementation and the geographical coverage for each ITS service</w:t>
      </w:r>
      <w:r w:rsidR="006801FE">
        <w:rPr>
          <w:noProof/>
        </w:rPr>
        <w:t>. Those amendments shall be consistent with</w:t>
      </w:r>
      <w:r w:rsidR="006801FE" w:rsidDel="006801FE">
        <w:rPr>
          <w:noProof/>
        </w:rPr>
        <w:t xml:space="preserve"> </w:t>
      </w:r>
      <w:r w:rsidR="00160535">
        <w:rPr>
          <w:noProof/>
        </w:rPr>
        <w:t>the list of ITS services set out in the latest working programme adopted in accordance with</w:t>
      </w:r>
      <w:r w:rsidR="00160535" w:rsidRPr="0079300E">
        <w:rPr>
          <w:noProof/>
        </w:rPr>
        <w:t xml:space="preserve"> Article 17(5)</w:t>
      </w:r>
      <w:r w:rsidR="00830A1B" w:rsidRPr="00830A1B">
        <w:rPr>
          <w:noProof/>
        </w:rPr>
        <w:t>.</w:t>
      </w:r>
      <w:r w:rsidR="00CA6E28">
        <w:rPr>
          <w:noProof/>
        </w:rPr>
        <w:t>’</w:t>
      </w:r>
      <w:r w:rsidR="0038224C">
        <w:rPr>
          <w:noProof/>
        </w:rPr>
        <w:t>;</w:t>
      </w:r>
    </w:p>
    <w:p w14:paraId="3651376D" w14:textId="3D3EAC0A" w:rsidR="0038224C" w:rsidRDefault="00E01660" w:rsidP="00E01660">
      <w:pPr>
        <w:pStyle w:val="Point1"/>
        <w:rPr>
          <w:noProof/>
        </w:rPr>
      </w:pPr>
      <w:r w:rsidRPr="00E01660">
        <w:t>(b)</w:t>
      </w:r>
      <w:r w:rsidRPr="00E01660">
        <w:tab/>
      </w:r>
      <w:r w:rsidR="0038224C">
        <w:rPr>
          <w:noProof/>
        </w:rPr>
        <w:t>paragraph 3 is replaced by the following:</w:t>
      </w:r>
    </w:p>
    <w:p w14:paraId="49C0E62E" w14:textId="62701BF8" w:rsidR="0038224C" w:rsidRDefault="00BF512E" w:rsidP="000C3D62">
      <w:pPr>
        <w:pStyle w:val="Text1"/>
        <w:rPr>
          <w:noProof/>
        </w:rPr>
      </w:pPr>
      <w:r>
        <w:rPr>
          <w:noProof/>
        </w:rPr>
        <w:t>‘</w:t>
      </w:r>
      <w:r w:rsidRPr="00DD07CD">
        <w:rPr>
          <w:noProof/>
        </w:rPr>
        <w:t>3. For the delegated acts referred to in this Article, the procedure set out in Article 12</w:t>
      </w:r>
      <w:r>
        <w:rPr>
          <w:noProof/>
        </w:rPr>
        <w:t xml:space="preserve"> </w:t>
      </w:r>
      <w:r w:rsidRPr="00DD07CD">
        <w:rPr>
          <w:noProof/>
        </w:rPr>
        <w:t>shall apply.</w:t>
      </w:r>
      <w:r>
        <w:rPr>
          <w:noProof/>
        </w:rPr>
        <w:t>’;</w:t>
      </w:r>
    </w:p>
    <w:p w14:paraId="5E84FDF2" w14:textId="0C769BAB" w:rsidR="00830A1B" w:rsidRDefault="00E01660" w:rsidP="00E01660">
      <w:pPr>
        <w:pStyle w:val="Point0"/>
        <w:rPr>
          <w:noProof/>
        </w:rPr>
      </w:pPr>
      <w:r w:rsidRPr="00E01660">
        <w:t>(8)</w:t>
      </w:r>
      <w:r w:rsidRPr="00E01660">
        <w:tab/>
      </w:r>
      <w:r w:rsidR="00737109" w:rsidRPr="00737109">
        <w:rPr>
          <w:noProof/>
        </w:rPr>
        <w:t xml:space="preserve">The following Article </w:t>
      </w:r>
      <w:r w:rsidR="003D46F0">
        <w:rPr>
          <w:noProof/>
        </w:rPr>
        <w:t>7</w:t>
      </w:r>
      <w:r w:rsidR="00950732">
        <w:rPr>
          <w:noProof/>
        </w:rPr>
        <w:t>a</w:t>
      </w:r>
      <w:r w:rsidR="00737109" w:rsidRPr="00737109">
        <w:rPr>
          <w:noProof/>
        </w:rPr>
        <w:t xml:space="preserve"> is inserted:</w:t>
      </w:r>
    </w:p>
    <w:p w14:paraId="72F3ED69" w14:textId="69B2735B" w:rsidR="003D46F0" w:rsidRPr="000C3D62" w:rsidRDefault="003D46F0" w:rsidP="000C3D62">
      <w:pPr>
        <w:pStyle w:val="Text1"/>
        <w:rPr>
          <w:i/>
          <w:noProof/>
        </w:rPr>
      </w:pPr>
      <w:r w:rsidRPr="000C3D62">
        <w:rPr>
          <w:i/>
          <w:noProof/>
        </w:rPr>
        <w:t>‘Article 7a</w:t>
      </w:r>
    </w:p>
    <w:p w14:paraId="7E005880" w14:textId="0ADBD76F" w:rsidR="003D46F0" w:rsidRPr="000C3D62" w:rsidRDefault="00A2153B" w:rsidP="000C3D62">
      <w:pPr>
        <w:pStyle w:val="Text1"/>
        <w:rPr>
          <w:b/>
          <w:noProof/>
        </w:rPr>
      </w:pPr>
      <w:r w:rsidRPr="000C3D62">
        <w:rPr>
          <w:b/>
          <w:noProof/>
        </w:rPr>
        <w:t>Interim measures</w:t>
      </w:r>
    </w:p>
    <w:p w14:paraId="2EE466D6" w14:textId="54494364" w:rsidR="00A2153B" w:rsidRDefault="00A2153B" w:rsidP="000C3D62">
      <w:pPr>
        <w:pStyle w:val="Text1"/>
        <w:rPr>
          <w:noProof/>
        </w:rPr>
      </w:pPr>
      <w:r w:rsidRPr="00A2153B">
        <w:rPr>
          <w:noProof/>
        </w:rPr>
        <w:t>In the event of an emergency situation having a severe direct impact on</w:t>
      </w:r>
      <w:r w:rsidR="002F0217">
        <w:rPr>
          <w:noProof/>
        </w:rPr>
        <w:t xml:space="preserve"> </w:t>
      </w:r>
      <w:r w:rsidRPr="00A2153B">
        <w:rPr>
          <w:noProof/>
        </w:rPr>
        <w:t xml:space="preserve">road safety, cyber security or the availability and integrity of ITS services, </w:t>
      </w:r>
      <w:r w:rsidR="0024205C">
        <w:rPr>
          <w:noProof/>
        </w:rPr>
        <w:t xml:space="preserve">and which may compromise </w:t>
      </w:r>
      <w:r w:rsidR="0024205C" w:rsidRPr="00513F15">
        <w:rPr>
          <w:noProof/>
        </w:rPr>
        <w:t xml:space="preserve">the </w:t>
      </w:r>
      <w:r w:rsidR="0024205C">
        <w:rPr>
          <w:noProof/>
        </w:rPr>
        <w:t xml:space="preserve">safe and proper </w:t>
      </w:r>
      <w:r w:rsidR="0024205C" w:rsidRPr="00513F15">
        <w:rPr>
          <w:noProof/>
        </w:rPr>
        <w:t xml:space="preserve">functioning of the </w:t>
      </w:r>
      <w:r w:rsidR="0024205C">
        <w:rPr>
          <w:noProof/>
        </w:rPr>
        <w:t xml:space="preserve">Union </w:t>
      </w:r>
      <w:r w:rsidR="0024205C" w:rsidRPr="00513F15">
        <w:rPr>
          <w:noProof/>
        </w:rPr>
        <w:t>transport system</w:t>
      </w:r>
      <w:r w:rsidR="0024205C">
        <w:rPr>
          <w:noProof/>
        </w:rPr>
        <w:t>,</w:t>
      </w:r>
      <w:r w:rsidR="0024205C" w:rsidRPr="00A2153B">
        <w:rPr>
          <w:noProof/>
        </w:rPr>
        <w:t xml:space="preserve"> in order to remedy that situation </w:t>
      </w:r>
      <w:r w:rsidRPr="00A2153B">
        <w:rPr>
          <w:noProof/>
        </w:rPr>
        <w:t xml:space="preserve">the Commission may adopt </w:t>
      </w:r>
      <w:r w:rsidR="00777C68" w:rsidRPr="000D6BD2">
        <w:rPr>
          <w:noProof/>
        </w:rPr>
        <w:t xml:space="preserve">immediately applicable implementing acts </w:t>
      </w:r>
      <w:r w:rsidR="00777C68">
        <w:rPr>
          <w:noProof/>
        </w:rPr>
        <w:t>suspend</w:t>
      </w:r>
      <w:r w:rsidR="0024205C">
        <w:rPr>
          <w:noProof/>
        </w:rPr>
        <w:t>ing</w:t>
      </w:r>
      <w:r w:rsidR="00777C68">
        <w:rPr>
          <w:noProof/>
        </w:rPr>
        <w:t xml:space="preserve"> or </w:t>
      </w:r>
      <w:r w:rsidR="0024205C">
        <w:rPr>
          <w:noProof/>
        </w:rPr>
        <w:t>establishing</w:t>
      </w:r>
      <w:r w:rsidR="00777C68">
        <w:rPr>
          <w:noProof/>
        </w:rPr>
        <w:t xml:space="preserve"> obligations </w:t>
      </w:r>
      <w:r w:rsidR="0024205C">
        <w:rPr>
          <w:noProof/>
        </w:rPr>
        <w:t>with</w:t>
      </w:r>
      <w:r w:rsidR="00777C68">
        <w:rPr>
          <w:noProof/>
        </w:rPr>
        <w:t xml:space="preserve">in the scope of </w:t>
      </w:r>
      <w:r w:rsidR="0024205C">
        <w:rPr>
          <w:noProof/>
        </w:rPr>
        <w:t>the priority areas set under Article 2</w:t>
      </w:r>
      <w:r w:rsidRPr="00A2153B">
        <w:rPr>
          <w:noProof/>
        </w:rPr>
        <w:t xml:space="preserve">. </w:t>
      </w:r>
      <w:r w:rsidR="00777C68" w:rsidRPr="00A2153B">
        <w:rPr>
          <w:noProof/>
        </w:rPr>
        <w:t>Th</w:t>
      </w:r>
      <w:r w:rsidR="0050162F">
        <w:rPr>
          <w:noProof/>
        </w:rPr>
        <w:t>o</w:t>
      </w:r>
      <w:r w:rsidR="00777C68">
        <w:rPr>
          <w:noProof/>
        </w:rPr>
        <w:t>se</w:t>
      </w:r>
      <w:r w:rsidR="00777C68" w:rsidRPr="00A2153B">
        <w:rPr>
          <w:noProof/>
        </w:rPr>
        <w:t xml:space="preserve"> </w:t>
      </w:r>
      <w:r w:rsidR="00777C68" w:rsidRPr="000D6BD2">
        <w:rPr>
          <w:noProof/>
        </w:rPr>
        <w:t xml:space="preserve">implementing acts </w:t>
      </w:r>
      <w:r w:rsidR="0050162F">
        <w:rPr>
          <w:noProof/>
        </w:rPr>
        <w:t>shall be adopted in accordance with the procedure referred to in Article 15(3). They</w:t>
      </w:r>
      <w:r w:rsidR="0050162F" w:rsidRPr="00A2153B">
        <w:rPr>
          <w:noProof/>
        </w:rPr>
        <w:t xml:space="preserve"> </w:t>
      </w:r>
      <w:r w:rsidRPr="00A2153B">
        <w:rPr>
          <w:noProof/>
        </w:rPr>
        <w:t xml:space="preserve">shall be strictly limited to addressing the causes and consequences of </w:t>
      </w:r>
      <w:r w:rsidR="00777C68">
        <w:rPr>
          <w:noProof/>
        </w:rPr>
        <w:t>such emergency</w:t>
      </w:r>
      <w:r w:rsidR="00777C68" w:rsidRPr="00A2153B" w:rsidDel="00777C68">
        <w:rPr>
          <w:noProof/>
        </w:rPr>
        <w:t xml:space="preserve"> </w:t>
      </w:r>
      <w:r w:rsidRPr="00A2153B">
        <w:rPr>
          <w:noProof/>
        </w:rPr>
        <w:t>situation</w:t>
      </w:r>
      <w:r w:rsidR="00777C68">
        <w:rPr>
          <w:noProof/>
        </w:rPr>
        <w:t>s</w:t>
      </w:r>
      <w:r w:rsidRPr="00A2153B">
        <w:rPr>
          <w:noProof/>
        </w:rPr>
        <w:t>.</w:t>
      </w:r>
      <w:r>
        <w:rPr>
          <w:noProof/>
        </w:rPr>
        <w:t>’</w:t>
      </w:r>
      <w:r w:rsidR="0006395D">
        <w:rPr>
          <w:noProof/>
        </w:rPr>
        <w:t>;</w:t>
      </w:r>
    </w:p>
    <w:p w14:paraId="0E62D153" w14:textId="617CD14F" w:rsidR="00D31EA2" w:rsidRDefault="00E01660" w:rsidP="00E01660">
      <w:pPr>
        <w:pStyle w:val="Point0"/>
        <w:rPr>
          <w:noProof/>
        </w:rPr>
      </w:pPr>
      <w:r w:rsidRPr="00E01660">
        <w:t>(9)</w:t>
      </w:r>
      <w:r w:rsidRPr="00E01660">
        <w:tab/>
      </w:r>
      <w:r w:rsidR="00E8267A">
        <w:rPr>
          <w:noProof/>
        </w:rPr>
        <w:t>i</w:t>
      </w:r>
      <w:r w:rsidR="00D31EA2">
        <w:rPr>
          <w:noProof/>
        </w:rPr>
        <w:t>n Article 8</w:t>
      </w:r>
      <w:r w:rsidR="00E8267A">
        <w:rPr>
          <w:noProof/>
        </w:rPr>
        <w:t>(</w:t>
      </w:r>
      <w:r w:rsidR="00D31EA2">
        <w:rPr>
          <w:noProof/>
        </w:rPr>
        <w:t>1</w:t>
      </w:r>
      <w:r w:rsidR="00E8267A">
        <w:rPr>
          <w:noProof/>
        </w:rPr>
        <w:t>)</w:t>
      </w:r>
      <w:r w:rsidR="00E506C7">
        <w:rPr>
          <w:noProof/>
        </w:rPr>
        <w:t>,</w:t>
      </w:r>
      <w:r w:rsidR="00D31EA2">
        <w:rPr>
          <w:noProof/>
        </w:rPr>
        <w:t xml:space="preserve"> </w:t>
      </w:r>
      <w:r w:rsidR="00E506C7" w:rsidRPr="00E506C7">
        <w:rPr>
          <w:noProof/>
        </w:rPr>
        <w:t>the</w:t>
      </w:r>
      <w:r w:rsidR="00E506C7">
        <w:rPr>
          <w:noProof/>
        </w:rPr>
        <w:t xml:space="preserve"> </w:t>
      </w:r>
      <w:r w:rsidR="00E8267A">
        <w:rPr>
          <w:noProof/>
        </w:rPr>
        <w:t xml:space="preserve">reference to </w:t>
      </w:r>
      <w:r w:rsidR="00E506C7">
        <w:rPr>
          <w:noProof/>
        </w:rPr>
        <w:t xml:space="preserve">‘Directive 98/34/EC’ </w:t>
      </w:r>
      <w:r w:rsidR="00E8267A">
        <w:rPr>
          <w:noProof/>
        </w:rPr>
        <w:t>is</w:t>
      </w:r>
      <w:r w:rsidR="00E8267A" w:rsidRPr="00E506C7">
        <w:rPr>
          <w:noProof/>
        </w:rPr>
        <w:t xml:space="preserve"> </w:t>
      </w:r>
      <w:r w:rsidR="00E506C7" w:rsidRPr="00E506C7">
        <w:rPr>
          <w:noProof/>
        </w:rPr>
        <w:t xml:space="preserve">replaced by </w:t>
      </w:r>
      <w:r w:rsidR="00E8267A" w:rsidRPr="00E506C7">
        <w:rPr>
          <w:noProof/>
        </w:rPr>
        <w:t>the</w:t>
      </w:r>
      <w:r w:rsidR="00E8267A">
        <w:rPr>
          <w:noProof/>
        </w:rPr>
        <w:t xml:space="preserve"> reference to </w:t>
      </w:r>
      <w:r w:rsidR="00E506C7" w:rsidRPr="00E506C7">
        <w:rPr>
          <w:noProof/>
        </w:rPr>
        <w:t>‘Directive (EU) 2015/1535</w:t>
      </w:r>
      <w:r w:rsidR="00D31EA2">
        <w:rPr>
          <w:noProof/>
        </w:rPr>
        <w:t>’</w:t>
      </w:r>
      <w:r w:rsidR="00E8267A">
        <w:rPr>
          <w:noProof/>
        </w:rPr>
        <w:t>;</w:t>
      </w:r>
    </w:p>
    <w:p w14:paraId="4243B736" w14:textId="04057C43" w:rsidR="00A2153B" w:rsidRDefault="00E01660" w:rsidP="00E01660">
      <w:pPr>
        <w:pStyle w:val="Point0"/>
        <w:rPr>
          <w:noProof/>
        </w:rPr>
      </w:pPr>
      <w:r w:rsidRPr="00E01660">
        <w:t>(10)</w:t>
      </w:r>
      <w:r w:rsidRPr="00E01660">
        <w:tab/>
      </w:r>
      <w:r w:rsidR="00C95F2E">
        <w:rPr>
          <w:noProof/>
        </w:rPr>
        <w:t xml:space="preserve">Article </w:t>
      </w:r>
      <w:r w:rsidR="00445E08">
        <w:rPr>
          <w:noProof/>
        </w:rPr>
        <w:t>10</w:t>
      </w:r>
      <w:r w:rsidR="00CA6E28">
        <w:rPr>
          <w:noProof/>
        </w:rPr>
        <w:t xml:space="preserve"> </w:t>
      </w:r>
      <w:r w:rsidR="00C95F2E">
        <w:rPr>
          <w:noProof/>
        </w:rPr>
        <w:t xml:space="preserve">is replaced </w:t>
      </w:r>
      <w:r w:rsidR="00CA6E28">
        <w:rPr>
          <w:noProof/>
        </w:rPr>
        <w:t>by the following</w:t>
      </w:r>
      <w:r w:rsidR="00C95F2E">
        <w:rPr>
          <w:noProof/>
        </w:rPr>
        <w:t>:</w:t>
      </w:r>
    </w:p>
    <w:p w14:paraId="38751D12" w14:textId="308A792C" w:rsidR="00CA6E28" w:rsidRPr="000C3D62" w:rsidRDefault="00CA6E28" w:rsidP="000C3D62">
      <w:pPr>
        <w:pStyle w:val="Text1"/>
        <w:rPr>
          <w:i/>
          <w:noProof/>
        </w:rPr>
      </w:pPr>
      <w:r w:rsidRPr="000C3D62">
        <w:rPr>
          <w:i/>
          <w:noProof/>
        </w:rPr>
        <w:t>‘Article 10</w:t>
      </w:r>
    </w:p>
    <w:p w14:paraId="4B57616E" w14:textId="32E38AE9" w:rsidR="00CA6E28" w:rsidRPr="000C3D62" w:rsidRDefault="00CA6E28" w:rsidP="000C3D62">
      <w:pPr>
        <w:pStyle w:val="Text1"/>
        <w:rPr>
          <w:b/>
          <w:noProof/>
        </w:rPr>
      </w:pPr>
      <w:r w:rsidRPr="000C3D62">
        <w:rPr>
          <w:b/>
          <w:noProof/>
        </w:rPr>
        <w:t xml:space="preserve">Rules on </w:t>
      </w:r>
      <w:r w:rsidR="00491797">
        <w:rPr>
          <w:b/>
          <w:noProof/>
        </w:rPr>
        <w:t xml:space="preserve">data protection and </w:t>
      </w:r>
      <w:r w:rsidRPr="000C3D62">
        <w:rPr>
          <w:b/>
          <w:noProof/>
        </w:rPr>
        <w:t>privacy</w:t>
      </w:r>
    </w:p>
    <w:p w14:paraId="6E6C370B" w14:textId="6BFA72B1" w:rsidR="005F5F5E" w:rsidRDefault="005F5F5E" w:rsidP="000C3D62">
      <w:pPr>
        <w:pStyle w:val="Text1"/>
        <w:rPr>
          <w:noProof/>
        </w:rPr>
      </w:pPr>
      <w:r w:rsidRPr="00C0003C">
        <w:rPr>
          <w:noProof/>
        </w:rPr>
        <w:t xml:space="preserve">Where specifications adopted pursuant </w:t>
      </w:r>
      <w:r>
        <w:rPr>
          <w:noProof/>
        </w:rPr>
        <w:t xml:space="preserve">to </w:t>
      </w:r>
      <w:r w:rsidRPr="00C0003C">
        <w:rPr>
          <w:noProof/>
        </w:rPr>
        <w:t xml:space="preserve">Article 6 </w:t>
      </w:r>
      <w:r w:rsidR="002C22AB" w:rsidRPr="002C22AB">
        <w:rPr>
          <w:noProof/>
        </w:rPr>
        <w:t>concern the processing of traffic, travel or road data that are personal data as defined in Article 4, point (1) of Regulation (EU) 2016/679</w:t>
      </w:r>
      <w:r w:rsidR="008D5162">
        <w:rPr>
          <w:noProof/>
        </w:rPr>
        <w:t>*</w:t>
      </w:r>
      <w:r w:rsidR="002C22AB" w:rsidRPr="002C22AB">
        <w:rPr>
          <w:noProof/>
        </w:rPr>
        <w:t xml:space="preserve">, they </w:t>
      </w:r>
      <w:r w:rsidRPr="00C0003C">
        <w:rPr>
          <w:noProof/>
        </w:rPr>
        <w:t xml:space="preserve">shall </w:t>
      </w:r>
      <w:r w:rsidR="002C22AB" w:rsidRPr="002C22AB">
        <w:rPr>
          <w:noProof/>
        </w:rPr>
        <w:t xml:space="preserve">lay down the categories of those data and provide for appropriate personal data protection safeguards pursuant </w:t>
      </w:r>
      <w:r w:rsidR="002C22AB">
        <w:rPr>
          <w:noProof/>
        </w:rPr>
        <w:t>to</w:t>
      </w:r>
      <w:r w:rsidRPr="00C0003C">
        <w:rPr>
          <w:noProof/>
        </w:rPr>
        <w:t xml:space="preserve"> Regulation (EU) 2016/679 and Directive 2002/58/EC.</w:t>
      </w:r>
      <w:r w:rsidR="00DC09C7">
        <w:rPr>
          <w:noProof/>
        </w:rPr>
        <w:t xml:space="preserve"> Where appropriate, </w:t>
      </w:r>
      <w:r w:rsidR="009950AA">
        <w:rPr>
          <w:noProof/>
        </w:rPr>
        <w:t xml:space="preserve">the use of </w:t>
      </w:r>
      <w:r w:rsidR="00DC09C7">
        <w:rPr>
          <w:noProof/>
        </w:rPr>
        <w:t>anonym</w:t>
      </w:r>
      <w:r w:rsidR="009950AA">
        <w:rPr>
          <w:noProof/>
        </w:rPr>
        <w:t>ous data</w:t>
      </w:r>
      <w:r w:rsidR="00DC09C7" w:rsidRPr="00DC09C7">
        <w:rPr>
          <w:noProof/>
        </w:rPr>
        <w:t xml:space="preserve"> </w:t>
      </w:r>
      <w:r w:rsidR="009950AA">
        <w:rPr>
          <w:noProof/>
        </w:rPr>
        <w:t>shall</w:t>
      </w:r>
      <w:r w:rsidR="00DC09C7" w:rsidRPr="00DC09C7">
        <w:rPr>
          <w:noProof/>
        </w:rPr>
        <w:t xml:space="preserve"> be encouraged</w:t>
      </w:r>
      <w:r w:rsidR="00DC09C7">
        <w:rPr>
          <w:noProof/>
        </w:rPr>
        <w:t>.</w:t>
      </w:r>
    </w:p>
    <w:p w14:paraId="2A974E62" w14:textId="77777777" w:rsidR="008D5162" w:rsidRDefault="008D5162" w:rsidP="008D5162">
      <w:pPr>
        <w:pStyle w:val="Text1"/>
        <w:rPr>
          <w:noProof/>
        </w:rPr>
      </w:pPr>
      <w:r>
        <w:rPr>
          <w:noProof/>
        </w:rPr>
        <w:t>__________</w:t>
      </w:r>
    </w:p>
    <w:p w14:paraId="4869B0D4" w14:textId="3554909A" w:rsidR="00CA6E28" w:rsidRDefault="008D5162" w:rsidP="008D5162">
      <w:pPr>
        <w:pStyle w:val="Text1"/>
        <w:rPr>
          <w:noProof/>
        </w:rPr>
      </w:pPr>
      <w:r>
        <w:rPr>
          <w:noProof/>
        </w:rPr>
        <w:t xml:space="preserve">* </w:t>
      </w:r>
      <w:r w:rsidRPr="00C0003C">
        <w:rPr>
          <w:noProof/>
        </w:rPr>
        <w:t>Regulation (EU) 2016/679</w:t>
      </w:r>
      <w:r>
        <w:rPr>
          <w:noProof/>
        </w:rPr>
        <w:t xml:space="preserve"> </w:t>
      </w:r>
      <w:r w:rsidRPr="00F061EC">
        <w:rPr>
          <w:noProof/>
        </w:rPr>
        <w:t>of the European Parliament and of the Council</w:t>
      </w:r>
      <w:r>
        <w:rPr>
          <w:noProof/>
        </w:rPr>
        <w:t xml:space="preserve"> of 27 April 2016 on the protection of natural persons with regard to the processing of personal data and on the free movement of such data, and repealing Directive 95/46/EC (General Data Protection Regulation) (OJ L 119, 4.5.2016, p. 1).</w:t>
      </w:r>
      <w:r w:rsidR="00C0003C">
        <w:rPr>
          <w:noProof/>
        </w:rPr>
        <w:t>’</w:t>
      </w:r>
      <w:r>
        <w:rPr>
          <w:noProof/>
        </w:rPr>
        <w:t>;</w:t>
      </w:r>
    </w:p>
    <w:p w14:paraId="694D8D7B" w14:textId="7A1EA0A3" w:rsidR="00CC4F1D" w:rsidRDefault="00E01660" w:rsidP="00E01660">
      <w:pPr>
        <w:pStyle w:val="Point0"/>
        <w:rPr>
          <w:noProof/>
        </w:rPr>
      </w:pPr>
      <w:r w:rsidRPr="00E01660">
        <w:t>(11)</w:t>
      </w:r>
      <w:r w:rsidRPr="00E01660">
        <w:tab/>
      </w:r>
      <w:r w:rsidR="003E7FB9" w:rsidRPr="00737109">
        <w:rPr>
          <w:noProof/>
        </w:rPr>
        <w:t xml:space="preserve">The following Article </w:t>
      </w:r>
      <w:r w:rsidR="003E7FB9">
        <w:rPr>
          <w:noProof/>
        </w:rPr>
        <w:t>10a</w:t>
      </w:r>
      <w:r w:rsidR="007B669A">
        <w:rPr>
          <w:noProof/>
        </w:rPr>
        <w:t xml:space="preserve"> is</w:t>
      </w:r>
      <w:r w:rsidR="003E7FB9" w:rsidRPr="00737109">
        <w:rPr>
          <w:noProof/>
        </w:rPr>
        <w:t xml:space="preserve"> inserted:</w:t>
      </w:r>
    </w:p>
    <w:p w14:paraId="3AA784D5" w14:textId="4BE516BD" w:rsidR="003C1558" w:rsidRPr="000C3D62" w:rsidRDefault="003C1558" w:rsidP="000C3D62">
      <w:pPr>
        <w:pStyle w:val="Text1"/>
        <w:rPr>
          <w:i/>
          <w:noProof/>
        </w:rPr>
      </w:pPr>
      <w:r w:rsidRPr="000C3D62">
        <w:rPr>
          <w:i/>
          <w:noProof/>
        </w:rPr>
        <w:t xml:space="preserve">‘Article </w:t>
      </w:r>
      <w:r w:rsidR="00F301FE" w:rsidRPr="000C3D62">
        <w:rPr>
          <w:i/>
          <w:noProof/>
        </w:rPr>
        <w:t>10</w:t>
      </w:r>
      <w:r w:rsidRPr="000C3D62">
        <w:rPr>
          <w:i/>
          <w:noProof/>
        </w:rPr>
        <w:t>a</w:t>
      </w:r>
    </w:p>
    <w:p w14:paraId="56A9175B" w14:textId="26AEDD3D" w:rsidR="004C2504" w:rsidRDefault="00155021" w:rsidP="004C2504">
      <w:pPr>
        <w:pStyle w:val="Text1"/>
        <w:rPr>
          <w:b/>
          <w:noProof/>
        </w:rPr>
      </w:pPr>
      <w:r>
        <w:rPr>
          <w:b/>
          <w:noProof/>
        </w:rPr>
        <w:t>EU</w:t>
      </w:r>
      <w:r w:rsidR="004C2504" w:rsidRPr="00CB69D3">
        <w:rPr>
          <w:b/>
          <w:noProof/>
        </w:rPr>
        <w:t xml:space="preserve"> C-ITS security credential management system </w:t>
      </w:r>
    </w:p>
    <w:p w14:paraId="6D470478" w14:textId="28E3AC01" w:rsidR="00492F90" w:rsidRPr="00492F90" w:rsidRDefault="00492F90" w:rsidP="003D1CDF">
      <w:pPr>
        <w:pStyle w:val="Text1"/>
        <w:rPr>
          <w:noProof/>
        </w:rPr>
      </w:pPr>
      <w:r w:rsidRPr="00492F90">
        <w:rPr>
          <w:noProof/>
        </w:rPr>
        <w:t>The specifications for the priority area referred to in Article 2(1), point (d), to be adopted by the Commission in the exercise of its powers pursuant to Article 7(1), shall lay down the EU C-ITS security credential management system referred to in point 4.3 of Annex I. That system shall comprise the following roles:</w:t>
      </w:r>
    </w:p>
    <w:p w14:paraId="58834F0D" w14:textId="5EDA5C95" w:rsidR="00492F90" w:rsidRPr="00492F90" w:rsidRDefault="00E01660" w:rsidP="00E01660">
      <w:pPr>
        <w:pStyle w:val="Point1"/>
        <w:rPr>
          <w:noProof/>
        </w:rPr>
      </w:pPr>
      <w:r w:rsidRPr="00E01660">
        <w:t>(a)</w:t>
      </w:r>
      <w:r w:rsidRPr="00E01660">
        <w:tab/>
      </w:r>
      <w:r w:rsidR="00492F90" w:rsidRPr="00492F90">
        <w:rPr>
          <w:noProof/>
        </w:rPr>
        <w:t>C-ITS certificate policy authority;</w:t>
      </w:r>
    </w:p>
    <w:p w14:paraId="407C8F72" w14:textId="02FA7EAD" w:rsidR="00492F90" w:rsidRPr="00492F90" w:rsidRDefault="00E01660" w:rsidP="00E01660">
      <w:pPr>
        <w:pStyle w:val="Point1"/>
        <w:rPr>
          <w:noProof/>
        </w:rPr>
      </w:pPr>
      <w:r w:rsidRPr="00E01660">
        <w:t>(b)</w:t>
      </w:r>
      <w:r w:rsidRPr="00E01660">
        <w:tab/>
      </w:r>
      <w:r w:rsidR="00492F90" w:rsidRPr="00492F90">
        <w:rPr>
          <w:noProof/>
        </w:rPr>
        <w:t>C-ITS trust list manager;</w:t>
      </w:r>
    </w:p>
    <w:p w14:paraId="0597ED92" w14:textId="297EDD3F" w:rsidR="00492F90" w:rsidRPr="00492F90" w:rsidRDefault="00E01660" w:rsidP="00E01660">
      <w:pPr>
        <w:pStyle w:val="Point1"/>
        <w:rPr>
          <w:noProof/>
        </w:rPr>
      </w:pPr>
      <w:r w:rsidRPr="00E01660">
        <w:t>(c)</w:t>
      </w:r>
      <w:r w:rsidRPr="00E01660">
        <w:tab/>
      </w:r>
      <w:r w:rsidR="00492F90" w:rsidRPr="00492F90">
        <w:rPr>
          <w:noProof/>
        </w:rPr>
        <w:t>C-ITS point of contact.</w:t>
      </w:r>
    </w:p>
    <w:p w14:paraId="1D6A3073" w14:textId="3081B5C2" w:rsidR="00492F90" w:rsidRPr="00CB69D3" w:rsidRDefault="00492F90" w:rsidP="00492F90">
      <w:pPr>
        <w:pStyle w:val="Text1"/>
        <w:rPr>
          <w:b/>
          <w:noProof/>
        </w:rPr>
      </w:pPr>
      <w:r w:rsidRPr="00492F90">
        <w:rPr>
          <w:noProof/>
        </w:rPr>
        <w:t>The Commission shall be responsible for ensuring the execution of those roles.’;</w:t>
      </w:r>
    </w:p>
    <w:p w14:paraId="4007BE5E" w14:textId="564829F7" w:rsidR="00203CD1" w:rsidRDefault="00E01660" w:rsidP="00E01660">
      <w:pPr>
        <w:pStyle w:val="Point0"/>
        <w:rPr>
          <w:noProof/>
        </w:rPr>
      </w:pPr>
      <w:r w:rsidRPr="00E01660">
        <w:t>(12)</w:t>
      </w:r>
      <w:r w:rsidRPr="00E01660">
        <w:tab/>
      </w:r>
      <w:r w:rsidR="007346E1">
        <w:rPr>
          <w:noProof/>
        </w:rPr>
        <w:t>i</w:t>
      </w:r>
      <w:r w:rsidR="00203CD1">
        <w:rPr>
          <w:noProof/>
        </w:rPr>
        <w:t>n Article 12</w:t>
      </w:r>
      <w:r w:rsidR="007346E1">
        <w:rPr>
          <w:noProof/>
        </w:rPr>
        <w:t>(</w:t>
      </w:r>
      <w:r w:rsidR="00203CD1">
        <w:rPr>
          <w:noProof/>
        </w:rPr>
        <w:t>2</w:t>
      </w:r>
      <w:r w:rsidR="007346E1">
        <w:rPr>
          <w:noProof/>
        </w:rPr>
        <w:t>)</w:t>
      </w:r>
      <w:r w:rsidR="00083E30">
        <w:rPr>
          <w:noProof/>
        </w:rPr>
        <w:t>,</w:t>
      </w:r>
      <w:r w:rsidR="00203CD1">
        <w:rPr>
          <w:noProof/>
        </w:rPr>
        <w:t xml:space="preserve"> </w:t>
      </w:r>
      <w:r w:rsidR="00083E30" w:rsidRPr="00083E30">
        <w:rPr>
          <w:noProof/>
        </w:rPr>
        <w:t>‘27</w:t>
      </w:r>
      <w:r w:rsidR="008D162B">
        <w:rPr>
          <w:noProof/>
        </w:rPr>
        <w:t> </w:t>
      </w:r>
      <w:r w:rsidR="00083E30" w:rsidRPr="00083E30">
        <w:rPr>
          <w:noProof/>
        </w:rPr>
        <w:t>August</w:t>
      </w:r>
      <w:r w:rsidR="008D162B">
        <w:rPr>
          <w:noProof/>
        </w:rPr>
        <w:t> </w:t>
      </w:r>
      <w:r w:rsidR="00083E30" w:rsidRPr="00083E30">
        <w:rPr>
          <w:noProof/>
        </w:rPr>
        <w:t xml:space="preserve">2017’ </w:t>
      </w:r>
      <w:r w:rsidR="007346E1">
        <w:rPr>
          <w:noProof/>
        </w:rPr>
        <w:t>is</w:t>
      </w:r>
      <w:r w:rsidR="007346E1" w:rsidRPr="00083E30">
        <w:rPr>
          <w:noProof/>
        </w:rPr>
        <w:t xml:space="preserve"> </w:t>
      </w:r>
      <w:r w:rsidR="00083E30" w:rsidRPr="00083E30">
        <w:rPr>
          <w:noProof/>
        </w:rPr>
        <w:t>replaced by ‘</w:t>
      </w:r>
      <w:r w:rsidR="007346E1">
        <w:rPr>
          <w:noProof/>
        </w:rPr>
        <w:t xml:space="preserve">[Publication Office: please insert the </w:t>
      </w:r>
      <w:r w:rsidR="00083E30" w:rsidRPr="00083E30">
        <w:rPr>
          <w:noProof/>
        </w:rPr>
        <w:t>date of ent</w:t>
      </w:r>
      <w:r w:rsidR="00083E30">
        <w:rPr>
          <w:noProof/>
        </w:rPr>
        <w:t>ry into force of this Directive</w:t>
      </w:r>
      <w:r w:rsidR="007346E1">
        <w:rPr>
          <w:noProof/>
        </w:rPr>
        <w:t>]</w:t>
      </w:r>
      <w:r w:rsidR="00083E30" w:rsidRPr="00083E30">
        <w:rPr>
          <w:noProof/>
        </w:rPr>
        <w:t>’</w:t>
      </w:r>
      <w:r w:rsidR="007346E1">
        <w:rPr>
          <w:noProof/>
        </w:rPr>
        <w:t>;</w:t>
      </w:r>
    </w:p>
    <w:p w14:paraId="38EE3B36" w14:textId="0F3DF0B6" w:rsidR="00203CD1" w:rsidRDefault="00E01660" w:rsidP="00E01660">
      <w:pPr>
        <w:pStyle w:val="Point0"/>
        <w:rPr>
          <w:noProof/>
        </w:rPr>
      </w:pPr>
      <w:r w:rsidRPr="00E01660">
        <w:t>(13)</w:t>
      </w:r>
      <w:r w:rsidRPr="00E01660">
        <w:tab/>
      </w:r>
      <w:r w:rsidR="00203CD1">
        <w:rPr>
          <w:noProof/>
        </w:rPr>
        <w:t>Article 15 is replaced by the following</w:t>
      </w:r>
      <w:r w:rsidR="00203CD1" w:rsidRPr="00737109">
        <w:rPr>
          <w:noProof/>
        </w:rPr>
        <w:t>:</w:t>
      </w:r>
    </w:p>
    <w:p w14:paraId="54FA3AD4" w14:textId="2200023D" w:rsidR="00FD5A2B" w:rsidRPr="000C3D62" w:rsidRDefault="00FD5A2B" w:rsidP="000C3D62">
      <w:pPr>
        <w:pStyle w:val="Text1"/>
        <w:rPr>
          <w:i/>
          <w:noProof/>
        </w:rPr>
      </w:pPr>
      <w:r w:rsidRPr="000C3D62">
        <w:rPr>
          <w:i/>
          <w:noProof/>
        </w:rPr>
        <w:t>‘Article 15</w:t>
      </w:r>
    </w:p>
    <w:p w14:paraId="7562AA36" w14:textId="3358B656" w:rsidR="00FD5A2B" w:rsidRPr="000C3D62" w:rsidRDefault="00FD5A2B" w:rsidP="000C3D62">
      <w:pPr>
        <w:pStyle w:val="Text1"/>
        <w:rPr>
          <w:b/>
          <w:noProof/>
        </w:rPr>
      </w:pPr>
      <w:r w:rsidRPr="000C3D62">
        <w:rPr>
          <w:b/>
          <w:noProof/>
        </w:rPr>
        <w:t>Committee procedure</w:t>
      </w:r>
    </w:p>
    <w:p w14:paraId="214F04FB" w14:textId="2653FC0C" w:rsidR="00FD5A2B" w:rsidRDefault="00FD5A2B" w:rsidP="000C3D62">
      <w:pPr>
        <w:pStyle w:val="Text1"/>
        <w:rPr>
          <w:noProof/>
        </w:rPr>
      </w:pPr>
      <w:r>
        <w:rPr>
          <w:noProof/>
        </w:rPr>
        <w:t>1.</w:t>
      </w:r>
      <w:r>
        <w:rPr>
          <w:noProof/>
        </w:rPr>
        <w:tab/>
        <w:t>The Commission shall be assisted by the European ITS Committee (EIC). That committee shall be a committee within the meaning of Regulation (EU) No 182/2011</w:t>
      </w:r>
      <w:r w:rsidR="00A51B0B" w:rsidRPr="00A51B0B">
        <w:rPr>
          <w:noProof/>
        </w:rPr>
        <w:t xml:space="preserve"> </w:t>
      </w:r>
      <w:r w:rsidR="00A51B0B">
        <w:rPr>
          <w:noProof/>
        </w:rPr>
        <w:t>o</w:t>
      </w:r>
      <w:r w:rsidR="00A51B0B" w:rsidRPr="00366AC3">
        <w:rPr>
          <w:noProof/>
        </w:rPr>
        <w:t>f the European Parliament and of the Council</w:t>
      </w:r>
      <w:r w:rsidR="00A51B0B">
        <w:rPr>
          <w:noProof/>
        </w:rPr>
        <w:t>*</w:t>
      </w:r>
      <w:r>
        <w:rPr>
          <w:noProof/>
        </w:rPr>
        <w:t>.</w:t>
      </w:r>
    </w:p>
    <w:p w14:paraId="6F7ECA0D" w14:textId="2B082F2A" w:rsidR="00FD5A2B" w:rsidRDefault="00FD5A2B" w:rsidP="000C3D62">
      <w:pPr>
        <w:pStyle w:val="Text1"/>
        <w:rPr>
          <w:noProof/>
        </w:rPr>
      </w:pPr>
      <w:r>
        <w:rPr>
          <w:noProof/>
        </w:rPr>
        <w:t>2.</w:t>
      </w:r>
      <w:r>
        <w:rPr>
          <w:noProof/>
        </w:rPr>
        <w:tab/>
        <w:t xml:space="preserve">Where reference </w:t>
      </w:r>
      <w:r w:rsidR="009A7792">
        <w:rPr>
          <w:noProof/>
        </w:rPr>
        <w:t xml:space="preserve">is made to this paragraph, </w:t>
      </w:r>
      <w:r>
        <w:rPr>
          <w:noProof/>
        </w:rPr>
        <w:t>Article 4 of Regulation (EU) No 182/2011 shall apply.</w:t>
      </w:r>
    </w:p>
    <w:p w14:paraId="40C88BA4" w14:textId="77777777" w:rsidR="00245062" w:rsidRDefault="00245062" w:rsidP="00245062">
      <w:pPr>
        <w:pStyle w:val="Text1"/>
        <w:rPr>
          <w:noProof/>
        </w:rPr>
      </w:pPr>
      <w:r>
        <w:rPr>
          <w:noProof/>
        </w:rPr>
        <w:t xml:space="preserve">3. </w:t>
      </w:r>
      <w:r>
        <w:rPr>
          <w:noProof/>
        </w:rPr>
        <w:tab/>
        <w:t xml:space="preserve">Where reference is made to this paragraph, </w:t>
      </w:r>
      <w:r w:rsidRPr="00C575F0">
        <w:rPr>
          <w:noProof/>
        </w:rPr>
        <w:t xml:space="preserve">Article </w:t>
      </w:r>
      <w:r>
        <w:rPr>
          <w:noProof/>
        </w:rPr>
        <w:t>8</w:t>
      </w:r>
      <w:r w:rsidRPr="00C575F0">
        <w:rPr>
          <w:noProof/>
        </w:rPr>
        <w:t xml:space="preserve"> of Regulation (EU) No 182/2011</w:t>
      </w:r>
      <w:r>
        <w:rPr>
          <w:noProof/>
        </w:rPr>
        <w:t xml:space="preserve">, in conjunction with Article 5 thereof, shall apply. Implementing acts adopted pursuant to this paragraph </w:t>
      </w:r>
      <w:r w:rsidRPr="00433005">
        <w:rPr>
          <w:noProof/>
        </w:rPr>
        <w:t xml:space="preserve">shall </w:t>
      </w:r>
      <w:r>
        <w:rPr>
          <w:noProof/>
        </w:rPr>
        <w:t xml:space="preserve">remain in force until </w:t>
      </w:r>
      <w:r w:rsidRPr="00433005">
        <w:rPr>
          <w:noProof/>
        </w:rPr>
        <w:t>repealed</w:t>
      </w:r>
      <w:r>
        <w:rPr>
          <w:noProof/>
        </w:rPr>
        <w:t xml:space="preserve">. The Commission shall repeal those acts </w:t>
      </w:r>
      <w:r w:rsidRPr="00433005">
        <w:rPr>
          <w:noProof/>
        </w:rPr>
        <w:t xml:space="preserve">once the emergency situation has ended or the relevant delegated act supplementing this Directive is amended to remedy </w:t>
      </w:r>
      <w:r>
        <w:rPr>
          <w:noProof/>
        </w:rPr>
        <w:t xml:space="preserve">the </w:t>
      </w:r>
      <w:r w:rsidRPr="00433005">
        <w:rPr>
          <w:noProof/>
        </w:rPr>
        <w:t>situation, whichever comes firs</w:t>
      </w:r>
      <w:r>
        <w:rPr>
          <w:noProof/>
        </w:rPr>
        <w:t>t.</w:t>
      </w:r>
      <w:r w:rsidRPr="00433005">
        <w:rPr>
          <w:noProof/>
        </w:rPr>
        <w:t xml:space="preserve"> </w:t>
      </w:r>
    </w:p>
    <w:p w14:paraId="6E1A4FC1" w14:textId="31917507" w:rsidR="00FD5A2B" w:rsidRDefault="00245062" w:rsidP="000C3D62">
      <w:pPr>
        <w:pStyle w:val="Text1"/>
        <w:rPr>
          <w:noProof/>
        </w:rPr>
      </w:pPr>
      <w:r>
        <w:rPr>
          <w:noProof/>
        </w:rPr>
        <w:t>4</w:t>
      </w:r>
      <w:r w:rsidR="00FD5A2B">
        <w:rPr>
          <w:noProof/>
        </w:rPr>
        <w:t>.</w:t>
      </w:r>
      <w:r w:rsidR="00FD5A2B">
        <w:rPr>
          <w:noProof/>
        </w:rPr>
        <w:tab/>
        <w:t>Where reference is made to this paragraph, Article 5 of Regulation (EU) No 182/2011 shall apply.</w:t>
      </w:r>
    </w:p>
    <w:p w14:paraId="2BF19CB5" w14:textId="77777777" w:rsidR="00A51B0B" w:rsidRDefault="00A51B0B" w:rsidP="000C3D62">
      <w:pPr>
        <w:pStyle w:val="Text1"/>
        <w:rPr>
          <w:noProof/>
        </w:rPr>
      </w:pPr>
      <w:r>
        <w:rPr>
          <w:noProof/>
        </w:rPr>
        <w:t>Where the opinion of the committee is to be obtained by a written procedure, that procedure shall be terminated without result when, within the time-limit for delivery of the opinion, the chair of the committee so decides or a simple majority of committee members so request.</w:t>
      </w:r>
    </w:p>
    <w:p w14:paraId="027282D9" w14:textId="69598FE1" w:rsidR="00FD5A2B" w:rsidRDefault="00FD5A2B" w:rsidP="000C3D62">
      <w:pPr>
        <w:pStyle w:val="Text1"/>
        <w:rPr>
          <w:noProof/>
        </w:rPr>
      </w:pPr>
      <w:r>
        <w:rPr>
          <w:noProof/>
        </w:rPr>
        <w:t>Where the committee delivers no opinion, the Commission shall not adopt the draft implementing act and the third subparagraph of Article 5(4) of Regulation (EU) No 182/2011 shall apply.</w:t>
      </w:r>
    </w:p>
    <w:p w14:paraId="0AE913E3" w14:textId="77777777" w:rsidR="00245062" w:rsidRDefault="00245062" w:rsidP="00245062">
      <w:pPr>
        <w:pStyle w:val="Text1"/>
        <w:rPr>
          <w:noProof/>
          <w:lang w:eastAsia="en-GB"/>
        </w:rPr>
      </w:pPr>
      <w:r>
        <w:rPr>
          <w:noProof/>
          <w:lang w:eastAsia="en-GB"/>
        </w:rPr>
        <w:t>__________</w:t>
      </w:r>
    </w:p>
    <w:p w14:paraId="6D57C1FA" w14:textId="33D9F231" w:rsidR="00FD5A2B" w:rsidRDefault="00245062" w:rsidP="00245062">
      <w:pPr>
        <w:pStyle w:val="Text1"/>
        <w:rPr>
          <w:noProof/>
        </w:rPr>
      </w:pPr>
      <w:r>
        <w:rPr>
          <w:noProof/>
        </w:rPr>
        <w:t xml:space="preserve">* </w:t>
      </w:r>
      <w:r w:rsidRPr="00366AC3">
        <w:rPr>
          <w:noProof/>
        </w:rPr>
        <w:t>Regulation (EU) No 182/2011 of the European Parliament and of the Council of 16 February 2011 laying down the rules and general principles concerning mechanisms for control by Member States of the Commission’s exercise of implementing powers</w:t>
      </w:r>
      <w:r>
        <w:rPr>
          <w:noProof/>
        </w:rPr>
        <w:t xml:space="preserve"> (</w:t>
      </w:r>
      <w:r w:rsidRPr="00366AC3">
        <w:rPr>
          <w:noProof/>
        </w:rPr>
        <w:t>OJ L 55, 28.2.2011, p. 13</w:t>
      </w:r>
      <w:r>
        <w:rPr>
          <w:noProof/>
        </w:rPr>
        <w:t>).’;</w:t>
      </w:r>
    </w:p>
    <w:p w14:paraId="057112A3" w14:textId="4F83D2E1" w:rsidR="005419E7" w:rsidRDefault="00E01660" w:rsidP="00E01660">
      <w:pPr>
        <w:pStyle w:val="Point0"/>
        <w:rPr>
          <w:noProof/>
        </w:rPr>
      </w:pPr>
      <w:r w:rsidRPr="00E01660">
        <w:t>(14)</w:t>
      </w:r>
      <w:r w:rsidRPr="00E01660">
        <w:tab/>
      </w:r>
      <w:r w:rsidR="005419E7">
        <w:rPr>
          <w:noProof/>
        </w:rPr>
        <w:t>Article 17 is replaced by the following</w:t>
      </w:r>
      <w:r w:rsidR="005419E7" w:rsidRPr="00737109">
        <w:rPr>
          <w:noProof/>
        </w:rPr>
        <w:t>:</w:t>
      </w:r>
    </w:p>
    <w:p w14:paraId="5DE4A37F" w14:textId="4C6B6F65" w:rsidR="005419E7" w:rsidRPr="000C3D62" w:rsidRDefault="00631DB6" w:rsidP="000C3D62">
      <w:pPr>
        <w:pStyle w:val="Text1"/>
        <w:rPr>
          <w:i/>
          <w:noProof/>
        </w:rPr>
      </w:pPr>
      <w:r>
        <w:rPr>
          <w:i/>
          <w:noProof/>
        </w:rPr>
        <w:t>‘</w:t>
      </w:r>
      <w:r w:rsidR="005419E7" w:rsidRPr="000C3D62">
        <w:rPr>
          <w:i/>
          <w:noProof/>
        </w:rPr>
        <w:t>Article 17</w:t>
      </w:r>
    </w:p>
    <w:p w14:paraId="333205F9" w14:textId="7624E9F7" w:rsidR="005419E7" w:rsidRPr="000C3D62" w:rsidRDefault="001601CE" w:rsidP="000C3D62">
      <w:pPr>
        <w:pStyle w:val="Text1"/>
        <w:rPr>
          <w:b/>
          <w:noProof/>
        </w:rPr>
      </w:pPr>
      <w:r w:rsidRPr="000C3D62">
        <w:rPr>
          <w:b/>
          <w:noProof/>
        </w:rPr>
        <w:t>Reporting</w:t>
      </w:r>
      <w:r w:rsidR="00DB6CD1">
        <w:rPr>
          <w:b/>
          <w:noProof/>
        </w:rPr>
        <w:t xml:space="preserve"> and working programme</w:t>
      </w:r>
    </w:p>
    <w:p w14:paraId="366B7AC0" w14:textId="78439769" w:rsidR="001601CE" w:rsidRPr="006A68D6" w:rsidRDefault="001601CE" w:rsidP="000C3D62">
      <w:pPr>
        <w:pStyle w:val="Text1"/>
        <w:rPr>
          <w:noProof/>
          <w:lang w:eastAsia="en-GB"/>
        </w:rPr>
      </w:pPr>
      <w:r w:rsidRPr="006A68D6">
        <w:rPr>
          <w:noProof/>
          <w:lang w:eastAsia="en-GB"/>
        </w:rPr>
        <w:t>1.</w:t>
      </w:r>
      <w:r w:rsidRPr="006A68D6">
        <w:rPr>
          <w:noProof/>
          <w:lang w:eastAsia="en-GB"/>
        </w:rPr>
        <w:tab/>
        <w:t xml:space="preserve">Member States shall submit to the Commission by </w:t>
      </w:r>
      <w:r w:rsidRPr="006F3A29">
        <w:rPr>
          <w:noProof/>
        </w:rPr>
        <w:t>[Date of entry into force + 12 months]</w:t>
      </w:r>
      <w:r w:rsidRPr="006A68D6">
        <w:rPr>
          <w:noProof/>
          <w:lang w:eastAsia="en-GB"/>
        </w:rPr>
        <w:t xml:space="preserve"> a report </w:t>
      </w:r>
      <w:r w:rsidR="00F97B68" w:rsidRPr="006A68D6">
        <w:rPr>
          <w:noProof/>
          <w:lang w:eastAsia="en-GB"/>
        </w:rPr>
        <w:t xml:space="preserve">on the implementation </w:t>
      </w:r>
      <w:r w:rsidR="00F97B68">
        <w:rPr>
          <w:noProof/>
          <w:lang w:eastAsia="en-GB"/>
        </w:rPr>
        <w:t xml:space="preserve">of this Directive and </w:t>
      </w:r>
      <w:r w:rsidR="00F97B68" w:rsidRPr="006A68D6">
        <w:rPr>
          <w:noProof/>
          <w:lang w:eastAsia="en-GB"/>
        </w:rPr>
        <w:t>of all delegated acts supplementing th</w:t>
      </w:r>
      <w:r w:rsidR="00F97B68">
        <w:rPr>
          <w:noProof/>
          <w:lang w:eastAsia="en-GB"/>
        </w:rPr>
        <w:t>is</w:t>
      </w:r>
      <w:r w:rsidR="00F97B68" w:rsidRPr="006A68D6">
        <w:rPr>
          <w:noProof/>
          <w:lang w:eastAsia="en-GB"/>
        </w:rPr>
        <w:t xml:space="preserve"> Directive</w:t>
      </w:r>
      <w:r w:rsidR="00F97B68">
        <w:rPr>
          <w:noProof/>
          <w:lang w:eastAsia="en-GB"/>
        </w:rPr>
        <w:t xml:space="preserve">, </w:t>
      </w:r>
      <w:r w:rsidRPr="006A68D6">
        <w:rPr>
          <w:noProof/>
          <w:lang w:eastAsia="en-GB"/>
        </w:rPr>
        <w:t xml:space="preserve">on their national activities and projects regarding the priority areas </w:t>
      </w:r>
      <w:r w:rsidR="00801DE6">
        <w:rPr>
          <w:noProof/>
          <w:lang w:eastAsia="en-GB"/>
        </w:rPr>
        <w:t xml:space="preserve">and </w:t>
      </w:r>
      <w:r w:rsidRPr="006A68D6">
        <w:rPr>
          <w:noProof/>
          <w:lang w:eastAsia="en-GB"/>
        </w:rPr>
        <w:t>on the implementation of Articles 6a and 6b.</w:t>
      </w:r>
    </w:p>
    <w:p w14:paraId="5450E227" w14:textId="77777777" w:rsidR="001601CE" w:rsidRPr="006A68D6" w:rsidRDefault="001601CE" w:rsidP="000C3D62">
      <w:pPr>
        <w:pStyle w:val="Text1"/>
        <w:rPr>
          <w:noProof/>
          <w:lang w:eastAsia="en-GB"/>
        </w:rPr>
      </w:pPr>
      <w:r w:rsidRPr="006A68D6">
        <w:rPr>
          <w:noProof/>
          <w:lang w:eastAsia="en-GB"/>
        </w:rPr>
        <w:t>2.</w:t>
      </w:r>
      <w:r w:rsidRPr="006A68D6">
        <w:rPr>
          <w:noProof/>
          <w:lang w:eastAsia="en-GB"/>
        </w:rPr>
        <w:tab/>
        <w:t>The Commission shall, by means of implementing acts, lay down the template for the initial and progress reports including a list of key performance indicators to be provided in the reports. Those implementing acts shall be adopted in accordance with the advisory procedure referred to in Article 15(2).</w:t>
      </w:r>
    </w:p>
    <w:p w14:paraId="3E00DA2B" w14:textId="331C18CF" w:rsidR="001601CE" w:rsidRPr="006A68D6" w:rsidRDefault="001601CE" w:rsidP="000C3D62">
      <w:pPr>
        <w:pStyle w:val="Text1"/>
        <w:rPr>
          <w:noProof/>
          <w:lang w:eastAsia="en-GB"/>
        </w:rPr>
      </w:pPr>
      <w:r w:rsidRPr="006A68D6">
        <w:rPr>
          <w:noProof/>
          <w:lang w:eastAsia="en-GB"/>
        </w:rPr>
        <w:t>3.</w:t>
      </w:r>
      <w:r w:rsidRPr="006A68D6">
        <w:rPr>
          <w:noProof/>
          <w:lang w:eastAsia="en-GB"/>
        </w:rPr>
        <w:tab/>
        <w:t xml:space="preserve">Following the initial report, Member States shall report every </w:t>
      </w:r>
      <w:r w:rsidR="00D87EE6">
        <w:rPr>
          <w:noProof/>
          <w:lang w:eastAsia="en-GB"/>
        </w:rPr>
        <w:t>3</w:t>
      </w:r>
      <w:r w:rsidR="00D87EE6" w:rsidRPr="006A68D6">
        <w:rPr>
          <w:noProof/>
          <w:lang w:eastAsia="en-GB"/>
        </w:rPr>
        <w:t xml:space="preserve"> </w:t>
      </w:r>
      <w:r w:rsidRPr="006A68D6">
        <w:rPr>
          <w:noProof/>
          <w:lang w:eastAsia="en-GB"/>
        </w:rPr>
        <w:t xml:space="preserve">years on the progress made in the </w:t>
      </w:r>
      <w:r w:rsidR="00801DE6" w:rsidRPr="006A68D6">
        <w:rPr>
          <w:noProof/>
          <w:lang w:eastAsia="en-GB"/>
        </w:rPr>
        <w:t xml:space="preserve">implementation </w:t>
      </w:r>
      <w:r w:rsidR="00801DE6">
        <w:rPr>
          <w:noProof/>
          <w:lang w:eastAsia="en-GB"/>
        </w:rPr>
        <w:t xml:space="preserve">of this Directive and </w:t>
      </w:r>
      <w:r w:rsidR="00801DE6" w:rsidRPr="006A68D6">
        <w:rPr>
          <w:noProof/>
          <w:lang w:eastAsia="en-GB"/>
        </w:rPr>
        <w:t>of all delegated acts supplementing th</w:t>
      </w:r>
      <w:r w:rsidR="00801DE6">
        <w:rPr>
          <w:noProof/>
          <w:lang w:eastAsia="en-GB"/>
        </w:rPr>
        <w:t>is</w:t>
      </w:r>
      <w:r w:rsidR="00801DE6" w:rsidRPr="006A68D6">
        <w:rPr>
          <w:noProof/>
          <w:lang w:eastAsia="en-GB"/>
        </w:rPr>
        <w:t xml:space="preserve"> Directive</w:t>
      </w:r>
      <w:r w:rsidR="00801DE6">
        <w:rPr>
          <w:noProof/>
          <w:lang w:eastAsia="en-GB"/>
        </w:rPr>
        <w:t xml:space="preserve">, as </w:t>
      </w:r>
      <w:r w:rsidRPr="006A68D6">
        <w:rPr>
          <w:noProof/>
          <w:lang w:eastAsia="en-GB"/>
        </w:rPr>
        <w:t>referred to in paragraph 1.</w:t>
      </w:r>
    </w:p>
    <w:p w14:paraId="41BE81F5" w14:textId="4E945D7C" w:rsidR="001601CE" w:rsidRPr="006A68D6" w:rsidRDefault="001601CE" w:rsidP="000C3D62">
      <w:pPr>
        <w:pStyle w:val="Text1"/>
        <w:rPr>
          <w:noProof/>
          <w:lang w:eastAsia="en-GB"/>
        </w:rPr>
      </w:pPr>
      <w:r w:rsidRPr="006A68D6">
        <w:rPr>
          <w:noProof/>
          <w:lang w:eastAsia="en-GB"/>
        </w:rPr>
        <w:t>4.</w:t>
      </w:r>
      <w:r w:rsidRPr="006A68D6">
        <w:rPr>
          <w:noProof/>
          <w:lang w:eastAsia="en-GB"/>
        </w:rPr>
        <w:tab/>
        <w:t xml:space="preserve">The Commission shall submit, </w:t>
      </w:r>
      <w:r w:rsidR="00801DE6">
        <w:rPr>
          <w:noProof/>
          <w:lang w:eastAsia="en-GB"/>
        </w:rPr>
        <w:t>18</w:t>
      </w:r>
      <w:r w:rsidR="00801DE6" w:rsidRPr="006A68D6">
        <w:rPr>
          <w:noProof/>
          <w:lang w:eastAsia="en-GB"/>
        </w:rPr>
        <w:t xml:space="preserve"> </w:t>
      </w:r>
      <w:r w:rsidRPr="006A68D6">
        <w:rPr>
          <w:noProof/>
          <w:lang w:eastAsia="en-GB"/>
        </w:rPr>
        <w:t xml:space="preserve">months after each </w:t>
      </w:r>
      <w:r w:rsidR="00E71EE3">
        <w:rPr>
          <w:noProof/>
          <w:lang w:eastAsia="en-GB"/>
        </w:rPr>
        <w:t xml:space="preserve">deadline for </w:t>
      </w:r>
      <w:r w:rsidRPr="006A68D6">
        <w:rPr>
          <w:noProof/>
          <w:lang w:eastAsia="en-GB"/>
        </w:rPr>
        <w:t>Member State report</w:t>
      </w:r>
      <w:r w:rsidR="00E71EE3">
        <w:rPr>
          <w:noProof/>
          <w:lang w:eastAsia="en-GB"/>
        </w:rPr>
        <w:t>s</w:t>
      </w:r>
      <w:r w:rsidRPr="006A68D6">
        <w:rPr>
          <w:noProof/>
          <w:lang w:eastAsia="en-GB"/>
        </w:rPr>
        <w:t xml:space="preserve">, a report to the European Parliament and to the Council on the progress made </w:t>
      </w:r>
      <w:r w:rsidR="00D624C0">
        <w:rPr>
          <w:noProof/>
          <w:lang w:eastAsia="en-GB"/>
        </w:rPr>
        <w:t>in</w:t>
      </w:r>
      <w:r w:rsidR="00D624C0" w:rsidRPr="006A68D6">
        <w:rPr>
          <w:noProof/>
          <w:lang w:eastAsia="en-GB"/>
        </w:rPr>
        <w:t xml:space="preserve"> </w:t>
      </w:r>
      <w:r w:rsidRPr="006A68D6">
        <w:rPr>
          <w:noProof/>
          <w:lang w:eastAsia="en-GB"/>
        </w:rPr>
        <w:t>the implementation of this Directive. The report shall be accompanied by an analysis on the functioning and implementation, including the financial resources used and needed, of Articles 5 to 11 and Article 16, and shall assess the need to amend this Directive, where appropriate.</w:t>
      </w:r>
    </w:p>
    <w:p w14:paraId="448C61C8" w14:textId="4AC03CC9" w:rsidR="001601CE" w:rsidRPr="00AA5F61" w:rsidRDefault="001601CE" w:rsidP="000C3D62">
      <w:pPr>
        <w:pStyle w:val="Text1"/>
        <w:rPr>
          <w:noProof/>
          <w:lang w:eastAsia="en-GB"/>
        </w:rPr>
      </w:pPr>
      <w:r w:rsidRPr="00AA5F61">
        <w:rPr>
          <w:noProof/>
          <w:lang w:eastAsia="en-GB"/>
        </w:rPr>
        <w:t>5.</w:t>
      </w:r>
      <w:r w:rsidRPr="00AA5F61">
        <w:rPr>
          <w:noProof/>
          <w:lang w:eastAsia="en-GB"/>
        </w:rPr>
        <w:tab/>
      </w:r>
      <w:r w:rsidR="009A6505">
        <w:rPr>
          <w:noProof/>
          <w:lang w:eastAsia="en-GB"/>
        </w:rPr>
        <w:t>B</w:t>
      </w:r>
      <w:r w:rsidRPr="00AA5F61">
        <w:rPr>
          <w:noProof/>
          <w:lang w:eastAsia="en-GB"/>
        </w:rPr>
        <w:t xml:space="preserve">y </w:t>
      </w:r>
      <w:r w:rsidRPr="006F3A29">
        <w:rPr>
          <w:noProof/>
        </w:rPr>
        <w:t>[Date of entry into force + 12 months]</w:t>
      </w:r>
      <w:r w:rsidR="009A6505">
        <w:rPr>
          <w:noProof/>
        </w:rPr>
        <w:t>,</w:t>
      </w:r>
      <w:r w:rsidR="009A6505">
        <w:rPr>
          <w:noProof/>
          <w:lang w:eastAsia="en-GB"/>
        </w:rPr>
        <w:t xml:space="preserve"> </w:t>
      </w:r>
      <w:r w:rsidR="009A6505" w:rsidRPr="00AA5F61">
        <w:rPr>
          <w:noProof/>
          <w:lang w:eastAsia="en-GB"/>
        </w:rPr>
        <w:t>the Commission shall</w:t>
      </w:r>
      <w:r w:rsidR="009A6505">
        <w:rPr>
          <w:noProof/>
          <w:lang w:eastAsia="en-GB"/>
        </w:rPr>
        <w:t xml:space="preserve">, </w:t>
      </w:r>
      <w:r w:rsidR="009A6505" w:rsidRPr="009A6505">
        <w:rPr>
          <w:noProof/>
          <w:lang w:eastAsia="en-GB"/>
        </w:rPr>
        <w:t>after consulting relevant stakeholders and by means of an implementing act,</w:t>
      </w:r>
      <w:r w:rsidR="009A6505">
        <w:rPr>
          <w:noProof/>
          <w:lang w:eastAsia="en-GB"/>
        </w:rPr>
        <w:t xml:space="preserve"> </w:t>
      </w:r>
      <w:r w:rsidR="009A6505" w:rsidRPr="00AA5F61">
        <w:rPr>
          <w:noProof/>
          <w:lang w:eastAsia="en-GB"/>
        </w:rPr>
        <w:t>adopt a working programme</w:t>
      </w:r>
      <w:r w:rsidRPr="00AA5F61">
        <w:rPr>
          <w:noProof/>
          <w:lang w:eastAsia="en-GB"/>
        </w:rPr>
        <w:t xml:space="preserve">. </w:t>
      </w:r>
      <w:r w:rsidR="00A05A16" w:rsidRPr="006A68D6">
        <w:rPr>
          <w:noProof/>
          <w:lang w:eastAsia="en-GB"/>
        </w:rPr>
        <w:t>Th</w:t>
      </w:r>
      <w:r w:rsidR="00A05A16">
        <w:rPr>
          <w:noProof/>
          <w:lang w:eastAsia="en-GB"/>
        </w:rPr>
        <w:t>at</w:t>
      </w:r>
      <w:r w:rsidR="00A05A16" w:rsidRPr="006A68D6">
        <w:rPr>
          <w:noProof/>
          <w:lang w:eastAsia="en-GB"/>
        </w:rPr>
        <w:t xml:space="preserve"> implementing act shall be adopted in accordance with the </w:t>
      </w:r>
      <w:r w:rsidR="00A05A16" w:rsidRPr="00AA5F61">
        <w:rPr>
          <w:noProof/>
          <w:lang w:eastAsia="en-GB"/>
        </w:rPr>
        <w:t xml:space="preserve">examination </w:t>
      </w:r>
      <w:r w:rsidR="00A05A16" w:rsidRPr="006A68D6">
        <w:rPr>
          <w:noProof/>
          <w:lang w:eastAsia="en-GB"/>
        </w:rPr>
        <w:t>procedure referred to in Article 15(</w:t>
      </w:r>
      <w:r w:rsidR="0037078A">
        <w:rPr>
          <w:noProof/>
          <w:lang w:eastAsia="en-GB"/>
        </w:rPr>
        <w:t>4</w:t>
      </w:r>
      <w:r w:rsidR="00A05A16" w:rsidRPr="006A68D6">
        <w:rPr>
          <w:noProof/>
          <w:lang w:eastAsia="en-GB"/>
        </w:rPr>
        <w:t>).</w:t>
      </w:r>
      <w:r w:rsidR="00A05A16">
        <w:rPr>
          <w:noProof/>
          <w:lang w:eastAsia="en-GB"/>
        </w:rPr>
        <w:t xml:space="preserve"> </w:t>
      </w:r>
      <w:r w:rsidRPr="00AA5F61">
        <w:rPr>
          <w:noProof/>
          <w:lang w:eastAsia="en-GB"/>
        </w:rPr>
        <w:t>The working programme shall include objectives and dates for its implementation every year</w:t>
      </w:r>
      <w:r w:rsidR="002B4C00" w:rsidRPr="002B4C00">
        <w:rPr>
          <w:noProof/>
          <w:lang w:eastAsia="en-GB"/>
        </w:rPr>
        <w:t xml:space="preserve">, as well as the list of data categories and </w:t>
      </w:r>
      <w:r w:rsidR="00AC5D52">
        <w:rPr>
          <w:noProof/>
          <w:lang w:eastAsia="en-GB"/>
        </w:rPr>
        <w:t xml:space="preserve">ITS </w:t>
      </w:r>
      <w:r w:rsidR="002B4C00" w:rsidRPr="002B4C00">
        <w:rPr>
          <w:noProof/>
          <w:lang w:eastAsia="en-GB"/>
        </w:rPr>
        <w:t xml:space="preserve">services for which </w:t>
      </w:r>
      <w:r w:rsidR="0037078A">
        <w:rPr>
          <w:noProof/>
          <w:lang w:eastAsia="en-GB"/>
        </w:rPr>
        <w:t>the Commission may adopt delegated acts pursuant to Article 7(1a) and (1b)</w:t>
      </w:r>
      <w:r w:rsidRPr="00AA5F61">
        <w:rPr>
          <w:noProof/>
          <w:lang w:eastAsia="en-GB"/>
        </w:rPr>
        <w:t>.</w:t>
      </w:r>
    </w:p>
    <w:p w14:paraId="5D981185" w14:textId="175D57D7" w:rsidR="001601CE" w:rsidRDefault="00655B75" w:rsidP="00B039D7">
      <w:pPr>
        <w:pStyle w:val="Text1"/>
        <w:rPr>
          <w:noProof/>
        </w:rPr>
      </w:pPr>
      <w:r>
        <w:rPr>
          <w:noProof/>
          <w:lang w:eastAsia="en-GB"/>
        </w:rPr>
        <w:t>B</w:t>
      </w:r>
      <w:r w:rsidRPr="00AA5F61">
        <w:rPr>
          <w:noProof/>
          <w:lang w:eastAsia="en-GB"/>
        </w:rPr>
        <w:t>efore each subsequent five-year extension of the power to adopt delegated acts in accordance with Article 12(2)</w:t>
      </w:r>
      <w:r>
        <w:rPr>
          <w:noProof/>
          <w:lang w:eastAsia="en-GB"/>
        </w:rPr>
        <w:t>, t</w:t>
      </w:r>
      <w:r w:rsidR="001601CE" w:rsidRPr="00AA5F61">
        <w:rPr>
          <w:noProof/>
          <w:lang w:eastAsia="en-GB"/>
        </w:rPr>
        <w:t>he Commission shall</w:t>
      </w:r>
      <w:r>
        <w:rPr>
          <w:noProof/>
          <w:lang w:eastAsia="en-GB"/>
        </w:rPr>
        <w:t>,</w:t>
      </w:r>
      <w:r w:rsidRPr="00AA5F61">
        <w:rPr>
          <w:noProof/>
          <w:lang w:eastAsia="en-GB"/>
        </w:rPr>
        <w:t xml:space="preserve"> </w:t>
      </w:r>
      <w:r w:rsidRPr="006A68D6">
        <w:rPr>
          <w:noProof/>
          <w:lang w:eastAsia="en-GB"/>
        </w:rPr>
        <w:t>by means of implementing act</w:t>
      </w:r>
      <w:r>
        <w:rPr>
          <w:noProof/>
          <w:lang w:eastAsia="en-GB"/>
        </w:rPr>
        <w:t xml:space="preserve">s, </w:t>
      </w:r>
      <w:r w:rsidR="007A2D00">
        <w:rPr>
          <w:noProof/>
          <w:lang w:eastAsia="en-GB"/>
        </w:rPr>
        <w:t>issue a new</w:t>
      </w:r>
      <w:r w:rsidR="007A2D00" w:rsidRPr="00AA5F61">
        <w:rPr>
          <w:noProof/>
          <w:lang w:eastAsia="en-GB"/>
        </w:rPr>
        <w:t xml:space="preserve"> </w:t>
      </w:r>
      <w:r w:rsidR="001601CE" w:rsidRPr="00AA5F61">
        <w:rPr>
          <w:noProof/>
          <w:lang w:eastAsia="en-GB"/>
        </w:rPr>
        <w:t>working programme</w:t>
      </w:r>
      <w:r>
        <w:rPr>
          <w:noProof/>
          <w:lang w:eastAsia="en-GB"/>
        </w:rPr>
        <w:t xml:space="preserve">. </w:t>
      </w:r>
      <w:r w:rsidRPr="006A68D6">
        <w:rPr>
          <w:noProof/>
          <w:lang w:eastAsia="en-GB"/>
        </w:rPr>
        <w:t xml:space="preserve">Those implementing acts shall be adopted in accordance with the </w:t>
      </w:r>
      <w:r w:rsidRPr="00AA5F61">
        <w:rPr>
          <w:noProof/>
          <w:lang w:eastAsia="en-GB"/>
        </w:rPr>
        <w:t xml:space="preserve">examination </w:t>
      </w:r>
      <w:r w:rsidRPr="006A68D6">
        <w:rPr>
          <w:noProof/>
          <w:lang w:eastAsia="en-GB"/>
        </w:rPr>
        <w:t>procedure referred to in Article 15(</w:t>
      </w:r>
      <w:r w:rsidR="00530700">
        <w:rPr>
          <w:noProof/>
          <w:lang w:eastAsia="en-GB"/>
        </w:rPr>
        <w:t>4</w:t>
      </w:r>
      <w:r>
        <w:rPr>
          <w:noProof/>
          <w:lang w:eastAsia="en-GB"/>
        </w:rPr>
        <w:t>)</w:t>
      </w:r>
      <w:r w:rsidR="001601CE" w:rsidRPr="00AA5F61">
        <w:rPr>
          <w:noProof/>
          <w:lang w:eastAsia="en-GB"/>
        </w:rPr>
        <w:t>.</w:t>
      </w:r>
      <w:r w:rsidR="004F1920" w:rsidRPr="004F1920">
        <w:rPr>
          <w:noProof/>
        </w:rPr>
        <w:t xml:space="preserve"> </w:t>
      </w:r>
      <w:r w:rsidR="004F1920" w:rsidRPr="004F1920">
        <w:rPr>
          <w:noProof/>
          <w:lang w:eastAsia="en-GB"/>
        </w:rPr>
        <w:t>’;</w:t>
      </w:r>
    </w:p>
    <w:p w14:paraId="1CA4D010" w14:textId="3FB2F593" w:rsidR="00760480" w:rsidRDefault="00E01660" w:rsidP="00E01660">
      <w:pPr>
        <w:pStyle w:val="Point0"/>
        <w:rPr>
          <w:noProof/>
        </w:rPr>
      </w:pPr>
      <w:r w:rsidRPr="00E01660">
        <w:t>(15)</w:t>
      </w:r>
      <w:r w:rsidRPr="00E01660">
        <w:tab/>
      </w:r>
      <w:r w:rsidR="00760480">
        <w:rPr>
          <w:noProof/>
        </w:rPr>
        <w:t xml:space="preserve">Annexes I and II are replaced by </w:t>
      </w:r>
      <w:r w:rsidR="009A6505">
        <w:rPr>
          <w:noProof/>
        </w:rPr>
        <w:t xml:space="preserve">the text in </w:t>
      </w:r>
      <w:r w:rsidR="00760480">
        <w:rPr>
          <w:noProof/>
        </w:rPr>
        <w:t xml:space="preserve">Annexes I </w:t>
      </w:r>
      <w:r w:rsidR="009A6505">
        <w:rPr>
          <w:noProof/>
        </w:rPr>
        <w:t xml:space="preserve">and </w:t>
      </w:r>
      <w:r w:rsidR="00760480">
        <w:rPr>
          <w:noProof/>
        </w:rPr>
        <w:t>II to this Directive</w:t>
      </w:r>
      <w:r w:rsidR="009A6505">
        <w:rPr>
          <w:noProof/>
        </w:rPr>
        <w:t>;</w:t>
      </w:r>
    </w:p>
    <w:p w14:paraId="51F356FD" w14:textId="1D6B7D4F" w:rsidR="00910BFF" w:rsidRDefault="00E01660" w:rsidP="00E01660">
      <w:pPr>
        <w:pStyle w:val="Point0"/>
        <w:rPr>
          <w:noProof/>
        </w:rPr>
      </w:pPr>
      <w:r w:rsidRPr="00E01660">
        <w:t>(16)</w:t>
      </w:r>
      <w:r w:rsidRPr="00E01660">
        <w:tab/>
      </w:r>
      <w:r w:rsidR="00910BFF">
        <w:rPr>
          <w:noProof/>
        </w:rPr>
        <w:t>Annexes III and IV are added as set out in Annexes III and IV to this Directive.</w:t>
      </w:r>
    </w:p>
    <w:p w14:paraId="4132378D" w14:textId="77777777" w:rsidR="00D94544" w:rsidRPr="0042330F" w:rsidRDefault="00D94544" w:rsidP="00AC3D1F">
      <w:pPr>
        <w:pStyle w:val="Titrearticle"/>
        <w:rPr>
          <w:noProof/>
        </w:rPr>
      </w:pPr>
      <w:r w:rsidRPr="00AC7E92">
        <w:rPr>
          <w:noProof/>
        </w:rPr>
        <w:t xml:space="preserve">Article </w:t>
      </w:r>
      <w:r w:rsidR="00AC3D1F" w:rsidRPr="0042330F">
        <w:rPr>
          <w:noProof/>
        </w:rPr>
        <w:t>2</w:t>
      </w:r>
    </w:p>
    <w:p w14:paraId="3E8A05F2" w14:textId="77777777" w:rsidR="00AC3D1F" w:rsidRPr="008511AE" w:rsidRDefault="00AC3D1F" w:rsidP="00AC3D1F">
      <w:pPr>
        <w:jc w:val="center"/>
        <w:rPr>
          <w:noProof/>
        </w:rPr>
      </w:pPr>
      <w:r>
        <w:rPr>
          <w:b/>
          <w:noProof/>
        </w:rPr>
        <w:t>Transposition</w:t>
      </w:r>
    </w:p>
    <w:p w14:paraId="5012FA11" w14:textId="77777777" w:rsidR="00D94544" w:rsidRPr="00AC7E92" w:rsidRDefault="00D94544" w:rsidP="00D13454">
      <w:pPr>
        <w:pStyle w:val="ManualNumPar1"/>
        <w:rPr>
          <w:noProof/>
        </w:rPr>
      </w:pPr>
      <w:r w:rsidRPr="00AC7E92">
        <w:rPr>
          <w:noProof/>
        </w:rPr>
        <w:t>1.</w:t>
      </w:r>
      <w:r w:rsidRPr="00AC7E92">
        <w:rPr>
          <w:noProof/>
        </w:rPr>
        <w:tab/>
        <w:t xml:space="preserve">Member States shall bring into force the laws, regulations and administrative provisions necessary to comply with this Directive by </w:t>
      </w:r>
      <w:r w:rsidR="0033304F" w:rsidRPr="0033304F">
        <w:rPr>
          <w:noProof/>
        </w:rPr>
        <w:t>[Date of entry into force + 18 months]</w:t>
      </w:r>
      <w:r>
        <w:rPr>
          <w:noProof/>
        </w:rPr>
        <w:t xml:space="preserve"> </w:t>
      </w:r>
      <w:r w:rsidRPr="00AC7E92">
        <w:rPr>
          <w:noProof/>
        </w:rPr>
        <w:t>at the latest. They shall forthwith communicate to the Commission the text of those provisions.</w:t>
      </w:r>
    </w:p>
    <w:p w14:paraId="03104043" w14:textId="77777777" w:rsidR="00D94544" w:rsidRPr="00AC7E92" w:rsidRDefault="00D94544" w:rsidP="00D13454">
      <w:pPr>
        <w:pStyle w:val="Text1"/>
        <w:rPr>
          <w:noProof/>
        </w:rPr>
      </w:pPr>
      <w:r w:rsidRPr="00AC7E92">
        <w:rPr>
          <w:noProof/>
        </w:rPr>
        <w:t>When Member States adopt those provisions, they shall contain a reference to this Directive or be accompanied by such a reference on the occasion of their official publication. Member States shall determine how such reference is to be made.</w:t>
      </w:r>
    </w:p>
    <w:p w14:paraId="32A73ABB" w14:textId="0946CABF" w:rsidR="00FC744F" w:rsidRPr="00FC744F" w:rsidRDefault="00D94544" w:rsidP="00FC744F">
      <w:pPr>
        <w:pStyle w:val="ManualNumPar1"/>
        <w:rPr>
          <w:noProof/>
        </w:rPr>
      </w:pPr>
      <w:r w:rsidRPr="00AC7E92">
        <w:rPr>
          <w:noProof/>
        </w:rPr>
        <w:t>2.</w:t>
      </w:r>
      <w:r w:rsidRPr="00AC7E92">
        <w:rPr>
          <w:noProof/>
        </w:rPr>
        <w:tab/>
        <w:t>Member States shall communicate to the Commission the text of the main provisions of national law which they adopt in the field covered by this Directive.</w:t>
      </w:r>
    </w:p>
    <w:p w14:paraId="7828FBFD" w14:textId="77777777" w:rsidR="00D94544" w:rsidRPr="0042330F" w:rsidRDefault="00D94544" w:rsidP="00D13454">
      <w:pPr>
        <w:pStyle w:val="Titrearticle"/>
        <w:rPr>
          <w:noProof/>
        </w:rPr>
      </w:pPr>
      <w:r w:rsidRPr="00AC7E92">
        <w:rPr>
          <w:noProof/>
        </w:rPr>
        <w:t xml:space="preserve">Article </w:t>
      </w:r>
      <w:r w:rsidR="00AC3D1F" w:rsidRPr="0042330F">
        <w:rPr>
          <w:noProof/>
        </w:rPr>
        <w:t>3</w:t>
      </w:r>
    </w:p>
    <w:p w14:paraId="575800FC" w14:textId="77777777" w:rsidR="00AC3D1F" w:rsidRPr="008511AE" w:rsidRDefault="00AC3D1F" w:rsidP="00AC3D1F">
      <w:pPr>
        <w:jc w:val="center"/>
        <w:rPr>
          <w:noProof/>
        </w:rPr>
      </w:pPr>
      <w:r>
        <w:rPr>
          <w:b/>
          <w:noProof/>
        </w:rPr>
        <w:t>Entry into force</w:t>
      </w:r>
    </w:p>
    <w:p w14:paraId="662AA8EC" w14:textId="4CF1A287" w:rsidR="00D94544" w:rsidRPr="00AC7E92" w:rsidRDefault="00D94544" w:rsidP="00D13454">
      <w:pPr>
        <w:rPr>
          <w:noProof/>
        </w:rPr>
      </w:pPr>
      <w:r w:rsidRPr="00AC7E92">
        <w:rPr>
          <w:noProof/>
        </w:rPr>
        <w:t xml:space="preserve">This Directive shall enter into force on the </w:t>
      </w:r>
      <w:r w:rsidR="00D116AD">
        <w:rPr>
          <w:rFonts w:eastAsiaTheme="minorEastAsia"/>
          <w:noProof/>
          <w:szCs w:val="24"/>
          <w:lang w:eastAsia="en-GB"/>
        </w:rPr>
        <w:t>twentieth</w:t>
      </w:r>
      <w:r w:rsidR="00D116AD" w:rsidRPr="00AC7E92">
        <w:rPr>
          <w:noProof/>
        </w:rPr>
        <w:t xml:space="preserve"> </w:t>
      </w:r>
      <w:r w:rsidRPr="00AC7E92">
        <w:rPr>
          <w:noProof/>
        </w:rPr>
        <w:t xml:space="preserve">day following that of its publication in the </w:t>
      </w:r>
      <w:r w:rsidRPr="00AC7E92">
        <w:rPr>
          <w:i/>
          <w:noProof/>
        </w:rPr>
        <w:t>Official Journal of the European Union</w:t>
      </w:r>
      <w:r w:rsidRPr="00AC7E92">
        <w:rPr>
          <w:noProof/>
        </w:rPr>
        <w:t>.</w:t>
      </w:r>
    </w:p>
    <w:p w14:paraId="0D9F5CB9" w14:textId="77777777" w:rsidR="00D94544" w:rsidRPr="0042330F" w:rsidRDefault="00D94544" w:rsidP="00D13454">
      <w:pPr>
        <w:pStyle w:val="Titrearticle"/>
        <w:rPr>
          <w:noProof/>
        </w:rPr>
      </w:pPr>
      <w:r w:rsidRPr="00AC7E92">
        <w:rPr>
          <w:noProof/>
        </w:rPr>
        <w:t xml:space="preserve">Article </w:t>
      </w:r>
      <w:r w:rsidR="00AC3D1F" w:rsidRPr="0042330F">
        <w:rPr>
          <w:noProof/>
        </w:rPr>
        <w:t>4</w:t>
      </w:r>
    </w:p>
    <w:p w14:paraId="35B4E9C4" w14:textId="77777777" w:rsidR="00AC3D1F" w:rsidRPr="008511AE" w:rsidRDefault="00AC3D1F" w:rsidP="00AC3D1F">
      <w:pPr>
        <w:jc w:val="center"/>
        <w:rPr>
          <w:noProof/>
        </w:rPr>
      </w:pPr>
      <w:r>
        <w:rPr>
          <w:b/>
          <w:noProof/>
        </w:rPr>
        <w:t>Addressees</w:t>
      </w:r>
    </w:p>
    <w:p w14:paraId="7878E5C2" w14:textId="77777777" w:rsidR="00D94544" w:rsidRDefault="00D94544" w:rsidP="00D13454">
      <w:pPr>
        <w:keepNext/>
        <w:keepLines/>
        <w:rPr>
          <w:noProof/>
        </w:rPr>
      </w:pPr>
      <w:r w:rsidRPr="00AC7E92">
        <w:rPr>
          <w:noProof/>
        </w:rPr>
        <w:t>This Directive is addressed to the Member States.</w:t>
      </w:r>
    </w:p>
    <w:p w14:paraId="51133059" w14:textId="1CA9FCEA" w:rsidR="00D94544" w:rsidRDefault="00201593" w:rsidP="00DC6904">
      <w:pPr>
        <w:pStyle w:val="Fait"/>
        <w:rPr>
          <w:noProof/>
        </w:rPr>
      </w:pPr>
      <w:r w:rsidRPr="00201593">
        <w:t>Done at Strasbourg,</w:t>
      </w:r>
    </w:p>
    <w:p w14:paraId="68329D52" w14:textId="77777777" w:rsidR="00D94544" w:rsidRDefault="00D94544" w:rsidP="00DC6904">
      <w:pPr>
        <w:pStyle w:val="Institutionquisigne"/>
        <w:rPr>
          <w:noProof/>
        </w:rPr>
      </w:pPr>
      <w:r w:rsidRPr="00D94544">
        <w:rPr>
          <w:noProof/>
        </w:rPr>
        <w:t>For the European Parliament</w:t>
      </w:r>
      <w:r w:rsidRPr="00D94544">
        <w:rPr>
          <w:noProof/>
        </w:rPr>
        <w:tab/>
        <w:t>For the Council</w:t>
      </w:r>
    </w:p>
    <w:p w14:paraId="78CA4E91" w14:textId="77777777" w:rsidR="00D94544" w:rsidRPr="00D94544" w:rsidRDefault="00D94544" w:rsidP="00D94544">
      <w:pPr>
        <w:pStyle w:val="Personnequisigne"/>
        <w:rPr>
          <w:noProof/>
        </w:rPr>
      </w:pPr>
      <w:r w:rsidRPr="00D94544">
        <w:rPr>
          <w:noProof/>
        </w:rPr>
        <w:t>The President</w:t>
      </w:r>
      <w:r w:rsidRPr="00D94544">
        <w:rPr>
          <w:noProof/>
        </w:rPr>
        <w:tab/>
        <w:t>The President</w:t>
      </w:r>
    </w:p>
    <w:sectPr w:rsidR="00D94544" w:rsidRPr="00D94544" w:rsidSect="0045537D">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D6D59" w14:textId="77777777" w:rsidR="005825B9" w:rsidRDefault="005825B9" w:rsidP="00D94544">
      <w:pPr>
        <w:spacing w:before="0" w:after="0"/>
      </w:pPr>
      <w:r>
        <w:separator/>
      </w:r>
    </w:p>
  </w:endnote>
  <w:endnote w:type="continuationSeparator" w:id="0">
    <w:p w14:paraId="50D192FB" w14:textId="77777777" w:rsidR="005825B9" w:rsidRDefault="005825B9" w:rsidP="00D94544">
      <w:pPr>
        <w:spacing w:before="0" w:after="0"/>
      </w:pPr>
      <w:r>
        <w:continuationSeparator/>
      </w:r>
    </w:p>
  </w:endnote>
  <w:endnote w:type="continuationNotice" w:id="1">
    <w:p w14:paraId="156294DB" w14:textId="77777777" w:rsidR="005825B9" w:rsidRDefault="005825B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17289" w14:textId="77777777" w:rsidR="00AF5CBC" w:rsidRPr="00AF5CBC" w:rsidRDefault="00AF5CBC" w:rsidP="00AF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AF5CBC" w:rsidRPr="00D94637" w14:paraId="4725B89B" w14:textId="77777777" w:rsidTr="00AF5CBC">
      <w:trPr>
        <w:jc w:val="center"/>
      </w:trPr>
      <w:tc>
        <w:tcPr>
          <w:tcW w:w="5000" w:type="pct"/>
          <w:gridSpan w:val="7"/>
          <w:shd w:val="clear" w:color="auto" w:fill="auto"/>
          <w:tcMar>
            <w:top w:w="57" w:type="dxa"/>
          </w:tcMar>
        </w:tcPr>
        <w:p w14:paraId="7F359F1B" w14:textId="77777777" w:rsidR="00AF5CBC" w:rsidRPr="00D94637" w:rsidRDefault="00AF5CBC" w:rsidP="00D94637">
          <w:pPr>
            <w:pStyle w:val="FooterText"/>
            <w:pBdr>
              <w:top w:val="single" w:sz="4" w:space="1" w:color="auto"/>
            </w:pBdr>
            <w:spacing w:before="200"/>
            <w:rPr>
              <w:sz w:val="2"/>
              <w:szCs w:val="2"/>
            </w:rPr>
          </w:pPr>
          <w:bookmarkStart w:id="2" w:name="FOOTER_STANDARD"/>
        </w:p>
      </w:tc>
    </w:tr>
    <w:tr w:rsidR="00AF5CBC" w:rsidRPr="00B310DC" w14:paraId="66FCA9C1" w14:textId="77777777" w:rsidTr="00AF5CBC">
      <w:trPr>
        <w:jc w:val="center"/>
      </w:trPr>
      <w:tc>
        <w:tcPr>
          <w:tcW w:w="2500" w:type="pct"/>
          <w:gridSpan w:val="2"/>
          <w:shd w:val="clear" w:color="auto" w:fill="auto"/>
          <w:tcMar>
            <w:top w:w="0" w:type="dxa"/>
          </w:tcMar>
        </w:tcPr>
        <w:p w14:paraId="0D27FE6F" w14:textId="6C75C9AE" w:rsidR="00AF5CBC" w:rsidRPr="00AD7BF2" w:rsidRDefault="00AF5CBC" w:rsidP="004F54B2">
          <w:pPr>
            <w:pStyle w:val="FooterText"/>
          </w:pPr>
          <w:r>
            <w:t>15114/21</w:t>
          </w:r>
          <w:r w:rsidRPr="002511D8">
            <w:t xml:space="preserve"> </w:t>
          </w:r>
        </w:p>
      </w:tc>
      <w:tc>
        <w:tcPr>
          <w:tcW w:w="625" w:type="pct"/>
          <w:shd w:val="clear" w:color="auto" w:fill="auto"/>
          <w:tcMar>
            <w:top w:w="0" w:type="dxa"/>
          </w:tcMar>
        </w:tcPr>
        <w:p w14:paraId="52589FEC" w14:textId="77777777" w:rsidR="00AF5CBC" w:rsidRPr="00AD7BF2" w:rsidRDefault="00AF5CBC" w:rsidP="00D94637">
          <w:pPr>
            <w:pStyle w:val="FooterText"/>
            <w:jc w:val="center"/>
          </w:pPr>
        </w:p>
      </w:tc>
      <w:tc>
        <w:tcPr>
          <w:tcW w:w="1286" w:type="pct"/>
          <w:gridSpan w:val="3"/>
          <w:shd w:val="clear" w:color="auto" w:fill="auto"/>
          <w:tcMar>
            <w:top w:w="0" w:type="dxa"/>
          </w:tcMar>
        </w:tcPr>
        <w:p w14:paraId="2CFBF208" w14:textId="6CA89A85" w:rsidR="00AF5CBC" w:rsidRPr="002511D8" w:rsidRDefault="00AF5CBC" w:rsidP="00D94637">
          <w:pPr>
            <w:pStyle w:val="FooterText"/>
            <w:jc w:val="center"/>
          </w:pPr>
          <w:r>
            <w:t>JL/cf</w:t>
          </w:r>
        </w:p>
      </w:tc>
      <w:tc>
        <w:tcPr>
          <w:tcW w:w="589" w:type="pct"/>
          <w:shd w:val="clear" w:color="auto" w:fill="auto"/>
          <w:tcMar>
            <w:top w:w="0" w:type="dxa"/>
          </w:tcMar>
        </w:tcPr>
        <w:p w14:paraId="5880F9D1" w14:textId="786701F7" w:rsidR="00AF5CBC" w:rsidRPr="00B310DC" w:rsidRDefault="00AF5CBC" w:rsidP="00AF5CBC">
          <w:pPr>
            <w:pStyle w:val="FooterText"/>
            <w:jc w:val="right"/>
          </w:pPr>
          <w:r>
            <w:fldChar w:fldCharType="begin"/>
          </w:r>
          <w:r>
            <w:instrText xml:space="preserve"> PAGE  \* MERGEFORMAT </w:instrText>
          </w:r>
          <w:r>
            <w:fldChar w:fldCharType="separate"/>
          </w:r>
          <w:r>
            <w:rPr>
              <w:noProof/>
            </w:rPr>
            <w:t>0</w:t>
          </w:r>
          <w:r>
            <w:fldChar w:fldCharType="end"/>
          </w:r>
        </w:p>
      </w:tc>
    </w:tr>
    <w:tr w:rsidR="00AF5CBC" w:rsidRPr="00D94637" w14:paraId="3474174E" w14:textId="77777777" w:rsidTr="00AF5CBC">
      <w:trPr>
        <w:jc w:val="center"/>
      </w:trPr>
      <w:tc>
        <w:tcPr>
          <w:tcW w:w="1774" w:type="pct"/>
          <w:shd w:val="clear" w:color="auto" w:fill="auto"/>
        </w:tcPr>
        <w:p w14:paraId="0609415C" w14:textId="6267DDD2" w:rsidR="00AF5CBC" w:rsidRPr="00AD7BF2" w:rsidRDefault="00AF5CBC" w:rsidP="00D94637">
          <w:pPr>
            <w:pStyle w:val="FooterText"/>
            <w:spacing w:before="40"/>
          </w:pPr>
        </w:p>
      </w:tc>
      <w:tc>
        <w:tcPr>
          <w:tcW w:w="1455" w:type="pct"/>
          <w:gridSpan w:val="3"/>
          <w:shd w:val="clear" w:color="auto" w:fill="auto"/>
        </w:tcPr>
        <w:p w14:paraId="2C1D1DA5" w14:textId="6BC0B284" w:rsidR="00AF5CBC" w:rsidRPr="00AD7BF2" w:rsidRDefault="00AF5CBC" w:rsidP="00D204D6">
          <w:pPr>
            <w:pStyle w:val="FooterText"/>
            <w:spacing w:before="40"/>
            <w:jc w:val="center"/>
          </w:pPr>
          <w:r>
            <w:t>TREE.2.A</w:t>
          </w:r>
        </w:p>
      </w:tc>
      <w:tc>
        <w:tcPr>
          <w:tcW w:w="742" w:type="pct"/>
          <w:shd w:val="clear" w:color="auto" w:fill="auto"/>
        </w:tcPr>
        <w:p w14:paraId="740717C2" w14:textId="32CB59C8" w:rsidR="00AF5CBC" w:rsidRPr="00D94637" w:rsidRDefault="00AF5CBC" w:rsidP="002F0099">
          <w:pPr>
            <w:pStyle w:val="FooterText"/>
            <w:jc w:val="center"/>
            <w:rPr>
              <w:b/>
              <w:position w:val="-4"/>
              <w:sz w:val="36"/>
            </w:rPr>
          </w:pPr>
        </w:p>
      </w:tc>
      <w:tc>
        <w:tcPr>
          <w:tcW w:w="1029" w:type="pct"/>
          <w:gridSpan w:val="2"/>
          <w:shd w:val="clear" w:color="auto" w:fill="auto"/>
        </w:tcPr>
        <w:p w14:paraId="4F275EFE" w14:textId="7B3E73DA" w:rsidR="00AF5CBC" w:rsidRPr="000310C2" w:rsidRDefault="00AF5CBC" w:rsidP="00D94637">
          <w:pPr>
            <w:pStyle w:val="FooterText"/>
            <w:jc w:val="right"/>
            <w:rPr>
              <w:spacing w:val="-20"/>
              <w:sz w:val="16"/>
            </w:rPr>
          </w:pPr>
          <w:r>
            <w:rPr>
              <w:b/>
              <w:spacing w:val="-20"/>
              <w:position w:val="-4"/>
              <w:sz w:val="36"/>
            </w:rPr>
            <w:t>EN</w:t>
          </w:r>
        </w:p>
      </w:tc>
    </w:tr>
    <w:bookmarkEnd w:id="2"/>
  </w:tbl>
  <w:p w14:paraId="51AABE39" w14:textId="708B9081" w:rsidR="002125A6" w:rsidRPr="00AF5CBC" w:rsidRDefault="002125A6" w:rsidP="00AF5CBC">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AF5CBC" w:rsidRPr="00D94637" w14:paraId="5FAF3BF7" w14:textId="77777777" w:rsidTr="00AF5CBC">
      <w:trPr>
        <w:jc w:val="center"/>
      </w:trPr>
      <w:tc>
        <w:tcPr>
          <w:tcW w:w="5000" w:type="pct"/>
          <w:gridSpan w:val="7"/>
          <w:shd w:val="clear" w:color="auto" w:fill="auto"/>
          <w:tcMar>
            <w:top w:w="57" w:type="dxa"/>
          </w:tcMar>
        </w:tcPr>
        <w:p w14:paraId="77CF1D98" w14:textId="77777777" w:rsidR="00AF5CBC" w:rsidRPr="00D94637" w:rsidRDefault="00AF5CBC" w:rsidP="00D94637">
          <w:pPr>
            <w:pStyle w:val="FooterText"/>
            <w:pBdr>
              <w:top w:val="single" w:sz="4" w:space="1" w:color="auto"/>
            </w:pBdr>
            <w:spacing w:before="200"/>
            <w:rPr>
              <w:sz w:val="2"/>
              <w:szCs w:val="2"/>
            </w:rPr>
          </w:pPr>
        </w:p>
      </w:tc>
    </w:tr>
    <w:tr w:rsidR="00AF5CBC" w:rsidRPr="00B310DC" w14:paraId="1F550E45" w14:textId="77777777" w:rsidTr="00AF5CBC">
      <w:trPr>
        <w:jc w:val="center"/>
      </w:trPr>
      <w:tc>
        <w:tcPr>
          <w:tcW w:w="2500" w:type="pct"/>
          <w:gridSpan w:val="2"/>
          <w:shd w:val="clear" w:color="auto" w:fill="auto"/>
          <w:tcMar>
            <w:top w:w="0" w:type="dxa"/>
          </w:tcMar>
        </w:tcPr>
        <w:p w14:paraId="609C545C" w14:textId="34613AEF" w:rsidR="00AF5CBC" w:rsidRPr="00AD7BF2" w:rsidRDefault="00AF5CBC" w:rsidP="004F54B2">
          <w:pPr>
            <w:pStyle w:val="FooterText"/>
          </w:pPr>
          <w:r>
            <w:t>15114/21</w:t>
          </w:r>
          <w:r w:rsidRPr="002511D8">
            <w:t xml:space="preserve"> </w:t>
          </w:r>
        </w:p>
      </w:tc>
      <w:tc>
        <w:tcPr>
          <w:tcW w:w="625" w:type="pct"/>
          <w:shd w:val="clear" w:color="auto" w:fill="auto"/>
          <w:tcMar>
            <w:top w:w="0" w:type="dxa"/>
          </w:tcMar>
        </w:tcPr>
        <w:p w14:paraId="685D4142" w14:textId="77777777" w:rsidR="00AF5CBC" w:rsidRPr="00AD7BF2" w:rsidRDefault="00AF5CBC" w:rsidP="00D94637">
          <w:pPr>
            <w:pStyle w:val="FooterText"/>
            <w:jc w:val="center"/>
          </w:pPr>
        </w:p>
      </w:tc>
      <w:tc>
        <w:tcPr>
          <w:tcW w:w="1286" w:type="pct"/>
          <w:gridSpan w:val="3"/>
          <w:shd w:val="clear" w:color="auto" w:fill="auto"/>
          <w:tcMar>
            <w:top w:w="0" w:type="dxa"/>
          </w:tcMar>
        </w:tcPr>
        <w:p w14:paraId="5C9D7A22" w14:textId="5FEF42B1" w:rsidR="00AF5CBC" w:rsidRPr="002511D8" w:rsidRDefault="00AF5CBC" w:rsidP="00D94637">
          <w:pPr>
            <w:pStyle w:val="FooterText"/>
            <w:jc w:val="center"/>
          </w:pPr>
          <w:r>
            <w:t>JL/cf</w:t>
          </w:r>
        </w:p>
      </w:tc>
      <w:tc>
        <w:tcPr>
          <w:tcW w:w="589" w:type="pct"/>
          <w:shd w:val="clear" w:color="auto" w:fill="auto"/>
          <w:tcMar>
            <w:top w:w="0" w:type="dxa"/>
          </w:tcMar>
        </w:tcPr>
        <w:p w14:paraId="20635F8B" w14:textId="4ACDC7D2" w:rsidR="00AF5CBC" w:rsidRPr="00B310DC" w:rsidRDefault="00AF5CBC" w:rsidP="00D94637">
          <w:pPr>
            <w:pStyle w:val="FooterText"/>
            <w:jc w:val="right"/>
          </w:pPr>
        </w:p>
      </w:tc>
    </w:tr>
    <w:tr w:rsidR="00AF5CBC" w:rsidRPr="00D94637" w14:paraId="72F77968" w14:textId="77777777" w:rsidTr="00AF5CBC">
      <w:trPr>
        <w:jc w:val="center"/>
      </w:trPr>
      <w:tc>
        <w:tcPr>
          <w:tcW w:w="1774" w:type="pct"/>
          <w:shd w:val="clear" w:color="auto" w:fill="auto"/>
        </w:tcPr>
        <w:p w14:paraId="1D113E71" w14:textId="73B44C70" w:rsidR="00AF5CBC" w:rsidRPr="00AD7BF2" w:rsidRDefault="00AF5CBC" w:rsidP="00D94637">
          <w:pPr>
            <w:pStyle w:val="FooterText"/>
            <w:spacing w:before="40"/>
          </w:pPr>
        </w:p>
      </w:tc>
      <w:tc>
        <w:tcPr>
          <w:tcW w:w="1455" w:type="pct"/>
          <w:gridSpan w:val="3"/>
          <w:shd w:val="clear" w:color="auto" w:fill="auto"/>
        </w:tcPr>
        <w:p w14:paraId="39953291" w14:textId="3BE1F587" w:rsidR="00AF5CBC" w:rsidRPr="00AD7BF2" w:rsidRDefault="00AF5CBC" w:rsidP="00D204D6">
          <w:pPr>
            <w:pStyle w:val="FooterText"/>
            <w:spacing w:before="40"/>
            <w:jc w:val="center"/>
          </w:pPr>
          <w:r>
            <w:t>TREE.2.A</w:t>
          </w:r>
        </w:p>
      </w:tc>
      <w:tc>
        <w:tcPr>
          <w:tcW w:w="742" w:type="pct"/>
          <w:shd w:val="clear" w:color="auto" w:fill="auto"/>
        </w:tcPr>
        <w:p w14:paraId="2BC1C363" w14:textId="4C5F8EAF" w:rsidR="00AF5CBC" w:rsidRPr="00D94637" w:rsidRDefault="00AF5CBC" w:rsidP="002F0099">
          <w:pPr>
            <w:pStyle w:val="FooterText"/>
            <w:jc w:val="center"/>
            <w:rPr>
              <w:b/>
              <w:position w:val="-4"/>
              <w:sz w:val="36"/>
            </w:rPr>
          </w:pPr>
        </w:p>
      </w:tc>
      <w:tc>
        <w:tcPr>
          <w:tcW w:w="1029" w:type="pct"/>
          <w:gridSpan w:val="2"/>
          <w:shd w:val="clear" w:color="auto" w:fill="auto"/>
        </w:tcPr>
        <w:p w14:paraId="43717738" w14:textId="0D08917F" w:rsidR="00AF5CBC" w:rsidRPr="000310C2" w:rsidRDefault="00AF5CBC" w:rsidP="00D94637">
          <w:pPr>
            <w:pStyle w:val="FooterText"/>
            <w:jc w:val="right"/>
            <w:rPr>
              <w:spacing w:val="-20"/>
              <w:sz w:val="16"/>
            </w:rPr>
          </w:pPr>
          <w:r>
            <w:rPr>
              <w:b/>
              <w:spacing w:val="-20"/>
              <w:position w:val="-4"/>
              <w:sz w:val="36"/>
            </w:rPr>
            <w:t>EN</w:t>
          </w:r>
        </w:p>
      </w:tc>
    </w:tr>
  </w:tbl>
  <w:p w14:paraId="04400581" w14:textId="77777777" w:rsidR="00AF5CBC" w:rsidRPr="00AF5CBC" w:rsidRDefault="00AF5CBC" w:rsidP="00AF5CBC">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9CF1" w14:textId="77777777" w:rsidR="00AF5CBC" w:rsidRDefault="00AF5C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DBAC9" w14:textId="77777777" w:rsidR="00AF5CBC" w:rsidRPr="0045537D" w:rsidRDefault="00AF5CBC" w:rsidP="0045537D">
    <w:pPr>
      <w:pStyle w:val="Footer"/>
      <w:rPr>
        <w:rFonts w:ascii="Arial" w:hAnsi="Arial" w:cs="Arial"/>
        <w:b/>
        <w:sz w:val="48"/>
      </w:rPr>
    </w:pPr>
    <w:r w:rsidRPr="0045537D">
      <w:rPr>
        <w:rFonts w:ascii="Arial" w:hAnsi="Arial" w:cs="Arial"/>
        <w:b/>
        <w:sz w:val="48"/>
      </w:rPr>
      <w:t>EN</w:t>
    </w:r>
    <w:r w:rsidRPr="0045537D">
      <w:rPr>
        <w:rFonts w:ascii="Arial" w:hAnsi="Arial" w:cs="Arial"/>
        <w:b/>
        <w:sz w:val="48"/>
      </w:rPr>
      <w:tab/>
    </w:r>
    <w:r w:rsidRPr="0045537D">
      <w:rPr>
        <w:rFonts w:ascii="Arial" w:hAnsi="Arial" w:cs="Arial"/>
        <w:b/>
        <w:sz w:val="48"/>
      </w:rPr>
      <w:tab/>
    </w:r>
    <w:r w:rsidRPr="0045537D">
      <w:tab/>
    </w:r>
    <w:r w:rsidRPr="0045537D">
      <w:rPr>
        <w:rFonts w:ascii="Arial" w:hAnsi="Arial" w:cs="Arial"/>
        <w:b/>
        <w:sz w:val="48"/>
      </w:rPr>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6352F" w14:textId="77777777" w:rsidR="00AF5CBC" w:rsidRDefault="00AF5CB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4534E" w14:textId="28C6BE52" w:rsidR="0045537D" w:rsidRPr="0045537D" w:rsidRDefault="0045537D" w:rsidP="0045537D">
    <w:pPr>
      <w:pStyle w:val="Footer"/>
      <w:rPr>
        <w:rFonts w:ascii="Arial" w:hAnsi="Arial" w:cs="Arial"/>
        <w:b/>
        <w:sz w:val="48"/>
      </w:rPr>
    </w:pPr>
    <w:r w:rsidRPr="0045537D">
      <w:rPr>
        <w:rFonts w:ascii="Arial" w:hAnsi="Arial" w:cs="Arial"/>
        <w:b/>
        <w:sz w:val="48"/>
      </w:rPr>
      <w:t>EN</w:t>
    </w:r>
    <w:r w:rsidRPr="0045537D">
      <w:rPr>
        <w:rFonts w:ascii="Arial" w:hAnsi="Arial" w:cs="Arial"/>
        <w:b/>
        <w:sz w:val="48"/>
      </w:rPr>
      <w:tab/>
    </w:r>
    <w:r>
      <w:fldChar w:fldCharType="begin"/>
    </w:r>
    <w:r>
      <w:instrText xml:space="preserve"> PAGE  \* MERGEFORMAT </w:instrText>
    </w:r>
    <w:r>
      <w:fldChar w:fldCharType="separate"/>
    </w:r>
    <w:r w:rsidR="00AF5CBC">
      <w:rPr>
        <w:noProof/>
      </w:rPr>
      <w:t>4</w:t>
    </w:r>
    <w:r>
      <w:fldChar w:fldCharType="end"/>
    </w:r>
    <w:r>
      <w:tab/>
    </w:r>
    <w:r w:rsidRPr="0045537D">
      <w:tab/>
    </w:r>
    <w:r w:rsidRPr="0045537D">
      <w:rPr>
        <w:rFonts w:ascii="Arial" w:hAnsi="Arial" w:cs="Arial"/>
        <w:b/>
        <w:sz w:val="48"/>
      </w:rPr>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BE907" w14:textId="77777777" w:rsidR="0045537D" w:rsidRPr="0045537D" w:rsidRDefault="0045537D" w:rsidP="00455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4DDDE" w14:textId="77777777" w:rsidR="005825B9" w:rsidRDefault="005825B9" w:rsidP="00D94544">
      <w:pPr>
        <w:spacing w:before="0" w:after="0"/>
      </w:pPr>
      <w:r>
        <w:separator/>
      </w:r>
    </w:p>
  </w:footnote>
  <w:footnote w:type="continuationSeparator" w:id="0">
    <w:p w14:paraId="5EC65E9F" w14:textId="77777777" w:rsidR="005825B9" w:rsidRDefault="005825B9" w:rsidP="00D94544">
      <w:pPr>
        <w:spacing w:before="0" w:after="0"/>
      </w:pPr>
      <w:r>
        <w:continuationSeparator/>
      </w:r>
    </w:p>
  </w:footnote>
  <w:footnote w:type="continuationNotice" w:id="1">
    <w:p w14:paraId="684A8C9D" w14:textId="77777777" w:rsidR="005825B9" w:rsidRDefault="005825B9">
      <w:pPr>
        <w:spacing w:before="0" w:after="0"/>
      </w:pPr>
    </w:p>
  </w:footnote>
  <w:footnote w:id="2">
    <w:p w14:paraId="78D8117D" w14:textId="5C55CFE2" w:rsidR="005825B9" w:rsidRPr="00AF5CBC" w:rsidRDefault="005825B9">
      <w:pPr>
        <w:pStyle w:val="FootnoteText"/>
        <w:rPr>
          <w:lang w:val="pt-PT"/>
        </w:rPr>
      </w:pPr>
      <w:r w:rsidRPr="00EF05D1">
        <w:rPr>
          <w:rStyle w:val="FootnoteReference"/>
        </w:rPr>
        <w:footnoteRef/>
      </w:r>
      <w:r w:rsidRPr="00AF5CBC">
        <w:rPr>
          <w:lang w:val="pt-PT"/>
        </w:rPr>
        <w:tab/>
        <w:t>OJ L 207, 6.8.2010, p. 1.</w:t>
      </w:r>
    </w:p>
  </w:footnote>
  <w:footnote w:id="3">
    <w:p w14:paraId="1423DE33" w14:textId="31863CDB" w:rsidR="005825B9" w:rsidRPr="00AF5CBC" w:rsidRDefault="005825B9">
      <w:pPr>
        <w:pStyle w:val="FootnoteText"/>
        <w:rPr>
          <w:lang w:val="pt-PT"/>
        </w:rPr>
      </w:pPr>
      <w:r w:rsidRPr="00EF05D1">
        <w:rPr>
          <w:rStyle w:val="FootnoteReference"/>
        </w:rPr>
        <w:footnoteRef/>
      </w:r>
      <w:r w:rsidRPr="00AF5CBC">
        <w:rPr>
          <w:lang w:val="pt-PT"/>
        </w:rPr>
        <w:tab/>
        <w:t>COM(2020) 789 final.</w:t>
      </w:r>
    </w:p>
  </w:footnote>
  <w:footnote w:id="4">
    <w:p w14:paraId="1F271F70" w14:textId="1C0B96D9" w:rsidR="005825B9" w:rsidRPr="00AF5CBC" w:rsidRDefault="005825B9" w:rsidP="00AD4247">
      <w:pPr>
        <w:pStyle w:val="FootnoteText"/>
        <w:rPr>
          <w:lang w:val="pt-PT"/>
        </w:rPr>
      </w:pPr>
      <w:r w:rsidRPr="00343E27">
        <w:rPr>
          <w:rStyle w:val="FootnoteReference"/>
        </w:rPr>
        <w:footnoteRef/>
      </w:r>
      <w:r w:rsidR="00343E27" w:rsidRPr="00AF5CBC">
        <w:rPr>
          <w:lang w:val="pt-PT"/>
        </w:rPr>
        <w:tab/>
      </w:r>
      <w:hyperlink r:id="rId1" w:history="1">
        <w:r w:rsidR="00343E27" w:rsidRPr="00AF5CBC">
          <w:rPr>
            <w:rStyle w:val="Hyperlink"/>
            <w:lang w:val="pt-PT"/>
          </w:rPr>
          <w:t>https://publications.jrc.ec.europa.eu/repository/bitstream/JRC69961/congestion%20report%20final.pdf</w:t>
        </w:r>
      </w:hyperlink>
      <w:r w:rsidR="00343E27" w:rsidRPr="00AF5CBC">
        <w:rPr>
          <w:lang w:val="pt-PT"/>
        </w:rPr>
        <w:t xml:space="preserve"> </w:t>
      </w:r>
    </w:p>
  </w:footnote>
  <w:footnote w:id="5">
    <w:p w14:paraId="3F1012AF" w14:textId="0A555998" w:rsidR="005825B9" w:rsidRPr="00AF5CBC" w:rsidRDefault="005825B9">
      <w:pPr>
        <w:pStyle w:val="FootnoteText"/>
        <w:rPr>
          <w:lang w:val="pt-PT"/>
        </w:rPr>
      </w:pPr>
      <w:r w:rsidRPr="00EF05D1">
        <w:rPr>
          <w:rStyle w:val="FootnoteReference"/>
        </w:rPr>
        <w:footnoteRef/>
      </w:r>
      <w:r w:rsidRPr="00AF5CBC">
        <w:rPr>
          <w:lang w:val="pt-PT"/>
        </w:rPr>
        <w:tab/>
        <w:t>COM(2020) 66 final.</w:t>
      </w:r>
    </w:p>
  </w:footnote>
  <w:footnote w:id="6">
    <w:p w14:paraId="66A99A57" w14:textId="7F0953F0" w:rsidR="005825B9" w:rsidRPr="00AF5CBC" w:rsidRDefault="005825B9">
      <w:pPr>
        <w:pStyle w:val="FootnoteText"/>
        <w:rPr>
          <w:lang w:val="pt-PT"/>
        </w:rPr>
      </w:pPr>
      <w:r w:rsidRPr="00EF05D1">
        <w:rPr>
          <w:rStyle w:val="FootnoteReference"/>
        </w:rPr>
        <w:footnoteRef/>
      </w:r>
      <w:r w:rsidRPr="00AF5CBC">
        <w:rPr>
          <w:lang w:val="pt-PT"/>
        </w:rPr>
        <w:tab/>
      </w:r>
      <w:r>
        <w:rPr>
          <w:lang w:val="pt-PT"/>
        </w:rPr>
        <w:t>COM(2019) 640 final.</w:t>
      </w:r>
    </w:p>
  </w:footnote>
  <w:footnote w:id="7">
    <w:p w14:paraId="15DDFA95" w14:textId="0BD361E6" w:rsidR="005825B9" w:rsidRPr="00AF5CBC" w:rsidRDefault="005825B9">
      <w:pPr>
        <w:pStyle w:val="FootnoteText"/>
        <w:rPr>
          <w:lang w:val="pt-PT"/>
        </w:rPr>
      </w:pPr>
      <w:r w:rsidRPr="00EF05D1">
        <w:rPr>
          <w:rStyle w:val="FootnoteReference"/>
        </w:rPr>
        <w:footnoteRef/>
      </w:r>
      <w:r w:rsidRPr="00AF5CBC">
        <w:rPr>
          <w:lang w:val="pt-PT"/>
        </w:rPr>
        <w:tab/>
      </w:r>
      <w:hyperlink r:id="rId2" w:history="1">
        <w:r w:rsidRPr="00AF5CBC">
          <w:rPr>
            <w:rStyle w:val="Hyperlink"/>
            <w:lang w:val="pt-PT"/>
          </w:rPr>
          <w:t>https://ec.europa.eu/info/strategy/priorities-2019-2024/europe-fit-digital-age_en</w:t>
        </w:r>
      </w:hyperlink>
    </w:p>
  </w:footnote>
  <w:footnote w:id="8">
    <w:p w14:paraId="1392E27C" w14:textId="1BEBBF90" w:rsidR="005825B9" w:rsidRPr="002242D4" w:rsidRDefault="005825B9">
      <w:pPr>
        <w:pStyle w:val="FootnoteText"/>
      </w:pPr>
      <w:r w:rsidRPr="00EF05D1">
        <w:rPr>
          <w:rStyle w:val="FootnoteReference"/>
        </w:rPr>
        <w:footnoteRef/>
      </w:r>
      <w:r>
        <w:tab/>
      </w:r>
      <w:r w:rsidRPr="002242D4">
        <w:t>SWD(2019) 368 final</w:t>
      </w:r>
      <w:r>
        <w:t>.</w:t>
      </w:r>
    </w:p>
  </w:footnote>
  <w:footnote w:id="9">
    <w:p w14:paraId="52B24EFC" w14:textId="16F8FDC6" w:rsidR="005825B9" w:rsidRPr="003C0B7E" w:rsidRDefault="005825B9">
      <w:pPr>
        <w:pStyle w:val="FootnoteText"/>
      </w:pPr>
      <w:r w:rsidRPr="00EF05D1">
        <w:rPr>
          <w:rStyle w:val="FootnoteReference"/>
        </w:rPr>
        <w:footnoteRef/>
      </w:r>
      <w:r>
        <w:tab/>
      </w:r>
      <w:r w:rsidRPr="000C3D62">
        <w:t>Regulation (EU) No 1315/2013 of the European Parliament and of the Council of 11 December 2013 on Union guidelines for the development of the trans-European transport network</w:t>
      </w:r>
      <w:r>
        <w:t xml:space="preserve"> (</w:t>
      </w:r>
      <w:r w:rsidRPr="003C0B7E">
        <w:t>OJ L 348, 20.12.2013, p. 1</w:t>
      </w:r>
      <w:r>
        <w:t>).</w:t>
      </w:r>
    </w:p>
  </w:footnote>
  <w:footnote w:id="10">
    <w:p w14:paraId="420F069F" w14:textId="30CDDC19" w:rsidR="005825B9" w:rsidRPr="00CC3A93" w:rsidRDefault="005825B9">
      <w:pPr>
        <w:pStyle w:val="FootnoteText"/>
      </w:pPr>
      <w:r w:rsidRPr="00EF05D1">
        <w:rPr>
          <w:rStyle w:val="FootnoteReference"/>
        </w:rPr>
        <w:footnoteRef/>
      </w:r>
      <w:r>
        <w:tab/>
      </w:r>
      <w:hyperlink r:id="rId3" w:history="1">
        <w:r w:rsidRPr="00B21646">
          <w:rPr>
            <w:rStyle w:val="Hyperlink"/>
          </w:rPr>
          <w:t>https://transport.ec.europa.eu/transport-themes/clean-transport-urban-transport/urban-mobility_en</w:t>
        </w:r>
      </w:hyperlink>
      <w:r>
        <w:t xml:space="preserve"> </w:t>
      </w:r>
    </w:p>
  </w:footnote>
  <w:footnote w:id="11">
    <w:p w14:paraId="05077196" w14:textId="0F05C2A8" w:rsidR="005825B9" w:rsidRPr="00AF5CBC" w:rsidRDefault="005825B9">
      <w:pPr>
        <w:pStyle w:val="FootnoteText"/>
        <w:rPr>
          <w:lang w:val="pt-PT"/>
        </w:rPr>
      </w:pPr>
      <w:r w:rsidRPr="00EF05D1">
        <w:rPr>
          <w:rStyle w:val="FootnoteReference"/>
        </w:rPr>
        <w:footnoteRef/>
      </w:r>
      <w:r w:rsidRPr="00AF5CBC">
        <w:rPr>
          <w:lang w:val="pt-PT"/>
        </w:rPr>
        <w:tab/>
        <w:t>COM(2021) 559 final.</w:t>
      </w:r>
    </w:p>
  </w:footnote>
  <w:footnote w:id="12">
    <w:p w14:paraId="78CA99FA" w14:textId="69A9E76F" w:rsidR="005825B9" w:rsidRPr="00AF5CBC" w:rsidRDefault="005825B9">
      <w:pPr>
        <w:pStyle w:val="FootnoteText"/>
        <w:rPr>
          <w:lang w:val="pt-PT"/>
        </w:rPr>
      </w:pPr>
      <w:r w:rsidRPr="00EF05D1">
        <w:rPr>
          <w:rStyle w:val="FootnoteReference"/>
        </w:rPr>
        <w:footnoteRef/>
      </w:r>
      <w:r w:rsidRPr="00AF5CBC">
        <w:rPr>
          <w:lang w:val="pt-PT"/>
        </w:rPr>
        <w:tab/>
        <w:t>OJ L 307, 28.10.2014, p. 1.</w:t>
      </w:r>
    </w:p>
  </w:footnote>
  <w:footnote w:id="13">
    <w:p w14:paraId="099D465C" w14:textId="2BD6F044" w:rsidR="005825B9" w:rsidRPr="00141E7E" w:rsidRDefault="005825B9">
      <w:pPr>
        <w:pStyle w:val="FootnoteText"/>
      </w:pPr>
      <w:r w:rsidRPr="00EF05D1">
        <w:rPr>
          <w:rStyle w:val="FootnoteReference"/>
        </w:rPr>
        <w:footnoteRef/>
      </w:r>
      <w:r>
        <w:tab/>
        <w:t>OJ L 249, 31.7.2020, p. 33.</w:t>
      </w:r>
    </w:p>
  </w:footnote>
  <w:footnote w:id="14">
    <w:p w14:paraId="427A587C" w14:textId="77777777" w:rsidR="005825B9" w:rsidRDefault="005825B9" w:rsidP="00EB6EAE">
      <w:pPr>
        <w:pStyle w:val="FootnoteText"/>
      </w:pPr>
      <w:r w:rsidRPr="00EF05D1">
        <w:rPr>
          <w:rStyle w:val="FootnoteReference"/>
        </w:rPr>
        <w:footnoteRef/>
      </w:r>
      <w:r>
        <w:tab/>
      </w:r>
      <w:r w:rsidRPr="001E3D89">
        <w:t>Regulation (EU) 2021/782 of the European Parliament and of the Council of 29 April 2021 on rail passengers’ rights and obligations</w:t>
      </w:r>
      <w:r>
        <w:t xml:space="preserve"> (OJ L 172, 17.5.2021, p. 1).</w:t>
      </w:r>
    </w:p>
  </w:footnote>
  <w:footnote w:id="15">
    <w:p w14:paraId="4D257B8A" w14:textId="0C3A085F" w:rsidR="00D55D17" w:rsidRPr="00F23097" w:rsidRDefault="00D55D17" w:rsidP="00D55D17">
      <w:pPr>
        <w:pStyle w:val="FootnoteText"/>
        <w:rPr>
          <w:lang w:val="en-IE"/>
        </w:rPr>
      </w:pPr>
      <w:r w:rsidRPr="001527D1">
        <w:rPr>
          <w:rStyle w:val="FootnoteReference"/>
        </w:rPr>
        <w:footnoteRef/>
      </w:r>
      <w:r w:rsidR="001527D1">
        <w:tab/>
      </w:r>
      <w:r w:rsidRPr="00A94F54">
        <w:t>Commission Delegated Regulation (EU) 2015/962 of 18 December 2014 supplementing Directive 2010/40/EU of the European Parliament and of the Council with regard to the provision of EU-wide real-time traffic information services (OJ L 157, 23.6.2015, p. 21)</w:t>
      </w:r>
      <w:r>
        <w:t>.</w:t>
      </w:r>
    </w:p>
  </w:footnote>
  <w:footnote w:id="16">
    <w:p w14:paraId="2A8803A8" w14:textId="2FB73A30" w:rsidR="00D55D17" w:rsidRPr="00D55D17" w:rsidRDefault="00D55D17">
      <w:pPr>
        <w:pStyle w:val="FootnoteText"/>
      </w:pPr>
      <w:r>
        <w:rPr>
          <w:rStyle w:val="FootnoteReference"/>
        </w:rPr>
        <w:footnoteRef/>
      </w:r>
      <w:r w:rsidRPr="00031C51">
        <w:tab/>
        <w:t>The adoption of the delegated act is expected to occur in Q1 2022</w:t>
      </w:r>
      <w:r>
        <w:t>.</w:t>
      </w:r>
    </w:p>
  </w:footnote>
  <w:footnote w:id="17">
    <w:p w14:paraId="71A0FA1B" w14:textId="74960056" w:rsidR="005825B9" w:rsidRPr="0045537D" w:rsidRDefault="005825B9">
      <w:pPr>
        <w:pStyle w:val="FootnoteText"/>
        <w:rPr>
          <w:lang w:val="pl-PL"/>
        </w:rPr>
      </w:pPr>
      <w:r w:rsidRPr="00EF05D1">
        <w:rPr>
          <w:rStyle w:val="FootnoteReference"/>
        </w:rPr>
        <w:footnoteRef/>
      </w:r>
      <w:r w:rsidRPr="0045537D">
        <w:rPr>
          <w:lang w:val="pl-PL"/>
        </w:rPr>
        <w:tab/>
        <w:t>OJ L 325, 16.12.2019, p. 1.</w:t>
      </w:r>
    </w:p>
  </w:footnote>
  <w:footnote w:id="18">
    <w:p w14:paraId="47A7D0F9" w14:textId="6BDA2218" w:rsidR="005825B9" w:rsidRPr="0045537D" w:rsidRDefault="005825B9">
      <w:pPr>
        <w:pStyle w:val="FootnoteText"/>
        <w:rPr>
          <w:lang w:val="pl-PL"/>
        </w:rPr>
      </w:pPr>
      <w:r w:rsidRPr="00EF05D1">
        <w:rPr>
          <w:rStyle w:val="FootnoteReference"/>
        </w:rPr>
        <w:footnoteRef/>
      </w:r>
      <w:r w:rsidRPr="0045537D">
        <w:rPr>
          <w:lang w:val="pl-PL"/>
        </w:rPr>
        <w:tab/>
        <w:t>OJ L 119, 4.5.2016, p. 1.</w:t>
      </w:r>
    </w:p>
  </w:footnote>
  <w:footnote w:id="19">
    <w:p w14:paraId="0C08C158" w14:textId="512DE8AC" w:rsidR="005825B9" w:rsidRPr="0045537D" w:rsidRDefault="005825B9">
      <w:pPr>
        <w:pStyle w:val="FootnoteText"/>
        <w:rPr>
          <w:lang w:val="pl-PL"/>
        </w:rPr>
      </w:pPr>
      <w:r w:rsidRPr="00EF05D1">
        <w:rPr>
          <w:rStyle w:val="FootnoteReference"/>
        </w:rPr>
        <w:footnoteRef/>
      </w:r>
      <w:r w:rsidRPr="0045537D">
        <w:rPr>
          <w:lang w:val="pl-PL"/>
        </w:rPr>
        <w:tab/>
        <w:t>OJ L 201, 31.7.2002, p. 37.</w:t>
      </w:r>
    </w:p>
  </w:footnote>
  <w:footnote w:id="20">
    <w:p w14:paraId="46EDFB20" w14:textId="38BB2089" w:rsidR="005825B9" w:rsidRPr="008D192E" w:rsidRDefault="005825B9">
      <w:pPr>
        <w:pStyle w:val="FootnoteText"/>
      </w:pPr>
      <w:r w:rsidRPr="00EF05D1">
        <w:rPr>
          <w:rStyle w:val="FootnoteReference"/>
        </w:rPr>
        <w:footnoteRef/>
      </w:r>
      <w:r>
        <w:tab/>
      </w:r>
      <w:r w:rsidRPr="008D192E">
        <w:t>OJ L 325, 16.12.2019, p. 1</w:t>
      </w:r>
      <w:r>
        <w:t>.</w:t>
      </w:r>
    </w:p>
  </w:footnote>
  <w:footnote w:id="21">
    <w:p w14:paraId="4E72CA39" w14:textId="620A3071" w:rsidR="00B06F77" w:rsidRPr="007F1434" w:rsidRDefault="00B06F77">
      <w:pPr>
        <w:pStyle w:val="FootnoteText"/>
      </w:pPr>
      <w:r>
        <w:rPr>
          <w:rStyle w:val="FootnoteReference"/>
        </w:rPr>
        <w:footnoteRef/>
      </w:r>
      <w:r w:rsidRPr="00EE6469">
        <w:tab/>
      </w:r>
      <w:r w:rsidR="007F1434" w:rsidRPr="006D1EB9">
        <w:rPr>
          <w:lang w:val="en-US"/>
        </w:rPr>
        <w:t>Proposal for a Regulation of the European Parliament and of the Council laying down harmonised rules on artificial intelligence (artificial intelligence act) and amending certain Union legislative acts (</w:t>
      </w:r>
      <w:r w:rsidRPr="00EE6469">
        <w:t>COM(2021) 206 final</w:t>
      </w:r>
      <w:r w:rsidR="007F1434">
        <w:t>)</w:t>
      </w:r>
      <w:r w:rsidRPr="00EE6469">
        <w:t>.</w:t>
      </w:r>
    </w:p>
  </w:footnote>
  <w:footnote w:id="22">
    <w:p w14:paraId="32C7D045" w14:textId="41F98539" w:rsidR="005825B9" w:rsidRPr="008D192E" w:rsidRDefault="005825B9">
      <w:pPr>
        <w:pStyle w:val="FootnoteText"/>
      </w:pPr>
      <w:r w:rsidRPr="00EF05D1">
        <w:rPr>
          <w:rStyle w:val="FootnoteReference"/>
        </w:rPr>
        <w:footnoteRef/>
      </w:r>
      <w:r>
        <w:tab/>
      </w:r>
      <w:r w:rsidR="00EB74E0">
        <w:t>SWD(2021) 474</w:t>
      </w:r>
    </w:p>
  </w:footnote>
  <w:footnote w:id="23">
    <w:p w14:paraId="368DB225" w14:textId="4E95C7A3" w:rsidR="005825B9" w:rsidRPr="00C463EE" w:rsidRDefault="005825B9">
      <w:pPr>
        <w:pStyle w:val="FootnoteText"/>
      </w:pPr>
      <w:r w:rsidRPr="00EF05D1">
        <w:rPr>
          <w:rStyle w:val="FootnoteReference"/>
        </w:rPr>
        <w:footnoteRef/>
      </w:r>
      <w:r>
        <w:tab/>
      </w:r>
      <w:r w:rsidRPr="00C463EE">
        <w:t>More detail</w:t>
      </w:r>
      <w:r>
        <w:t>s</w:t>
      </w:r>
      <w:r w:rsidRPr="00C463EE">
        <w:t xml:space="preserve"> can be found in Annex F</w:t>
      </w:r>
      <w:r>
        <w:t xml:space="preserve"> t</w:t>
      </w:r>
      <w:r w:rsidRPr="00C463EE">
        <w:t>o the support study</w:t>
      </w:r>
      <w:r w:rsidRPr="009247CF">
        <w:t>, which contains a report on the stakeholder consultation.</w:t>
      </w:r>
    </w:p>
  </w:footnote>
  <w:footnote w:id="24">
    <w:p w14:paraId="74F80F6D" w14:textId="0F5E0D65" w:rsidR="005825B9" w:rsidRPr="00E86BDC" w:rsidRDefault="005825B9">
      <w:pPr>
        <w:pStyle w:val="FootnoteText"/>
      </w:pPr>
      <w:r w:rsidRPr="00EF05D1">
        <w:rPr>
          <w:rStyle w:val="FootnoteReference"/>
        </w:rPr>
        <w:footnoteRef/>
      </w:r>
      <w:r>
        <w:tab/>
      </w:r>
      <w:hyperlink r:id="rId4" w:history="1">
        <w:r w:rsidRPr="00D47894">
          <w:rPr>
            <w:rStyle w:val="Hyperlink"/>
          </w:rPr>
          <w:t>https://ec.europa.eu/info/law/better-regulation/have-your-say/initiatives/12534-Intelligent-transport-systems-review-of-EU-rules-_en</w:t>
        </w:r>
      </w:hyperlink>
      <w:r>
        <w:t xml:space="preserve"> </w:t>
      </w:r>
    </w:p>
  </w:footnote>
  <w:footnote w:id="25">
    <w:p w14:paraId="6B74CE91" w14:textId="55F17D9B" w:rsidR="005825B9" w:rsidRPr="00AF5CBC" w:rsidRDefault="005825B9">
      <w:pPr>
        <w:pStyle w:val="FootnoteText"/>
        <w:rPr>
          <w:lang w:val="pt-PT"/>
        </w:rPr>
      </w:pPr>
      <w:r w:rsidRPr="00EF05D1">
        <w:rPr>
          <w:rStyle w:val="FootnoteReference"/>
        </w:rPr>
        <w:footnoteRef/>
      </w:r>
      <w:r w:rsidRPr="00AF5CBC">
        <w:rPr>
          <w:lang w:val="pt-PT"/>
        </w:rPr>
        <w:tab/>
        <w:t>SWD(2019) 368 final.</w:t>
      </w:r>
    </w:p>
  </w:footnote>
  <w:footnote w:id="26">
    <w:p w14:paraId="7B25882F" w14:textId="29ACA3D7" w:rsidR="005825B9" w:rsidRPr="00AF5CBC" w:rsidRDefault="005825B9">
      <w:pPr>
        <w:pStyle w:val="FootnoteText"/>
        <w:rPr>
          <w:lang w:val="pt-PT"/>
        </w:rPr>
      </w:pPr>
      <w:r w:rsidRPr="00EF05D1">
        <w:rPr>
          <w:rStyle w:val="FootnoteReference"/>
        </w:rPr>
        <w:footnoteRef/>
      </w:r>
      <w:r w:rsidRPr="00AF5CBC">
        <w:rPr>
          <w:lang w:val="pt-PT"/>
        </w:rPr>
        <w:tab/>
        <w:t>COM/2019/464 final.</w:t>
      </w:r>
    </w:p>
  </w:footnote>
  <w:footnote w:id="27">
    <w:p w14:paraId="69E6687C" w14:textId="38F2FCC6" w:rsidR="005825B9" w:rsidRPr="00AF5CBC" w:rsidRDefault="005825B9">
      <w:pPr>
        <w:pStyle w:val="FootnoteText"/>
        <w:rPr>
          <w:lang w:val="pt-PT"/>
        </w:rPr>
      </w:pPr>
      <w:r w:rsidRPr="00EF05D1">
        <w:rPr>
          <w:rStyle w:val="FootnoteReference"/>
        </w:rPr>
        <w:footnoteRef/>
      </w:r>
      <w:r w:rsidRPr="00AF5CBC">
        <w:rPr>
          <w:lang w:val="pt-PT"/>
        </w:rPr>
        <w:tab/>
      </w:r>
      <w:hyperlink r:id="rId5" w:history="1">
        <w:r w:rsidRPr="00AF5CBC">
          <w:rPr>
            <w:rStyle w:val="Hyperlink"/>
            <w:lang w:val="pt-PT"/>
          </w:rPr>
          <w:t>https://transport.ec.europa.eu/transport-themes/intelligent-transport-systems/road/action-plan-and-directive/its-national-reports_en</w:t>
        </w:r>
      </w:hyperlink>
    </w:p>
  </w:footnote>
  <w:footnote w:id="28">
    <w:p w14:paraId="47434F2A" w14:textId="04906F3F" w:rsidR="005825B9" w:rsidRPr="00D83F89" w:rsidRDefault="005825B9">
      <w:pPr>
        <w:pStyle w:val="FootnoteText"/>
      </w:pPr>
      <w:r w:rsidRPr="00EF05D1">
        <w:rPr>
          <w:rStyle w:val="FootnoteReference"/>
        </w:rPr>
        <w:footnoteRef/>
      </w:r>
      <w:r>
        <w:tab/>
      </w:r>
      <w:r w:rsidRPr="00D83F89">
        <w:t>Fi</w:t>
      </w:r>
      <w:r>
        <w:t>nal report,</w:t>
      </w:r>
      <w:r w:rsidRPr="00D83F89">
        <w:t xml:space="preserve"> impact assessment support study ‘Impact Assessment Support Study for the revision of the Intelligent Transport System Directive (2010/40/EU)’, 2021.</w:t>
      </w:r>
    </w:p>
  </w:footnote>
  <w:footnote w:id="29">
    <w:p w14:paraId="7C40CA3B" w14:textId="428ADF08" w:rsidR="005825B9" w:rsidRPr="006218E9" w:rsidRDefault="005825B9">
      <w:pPr>
        <w:pStyle w:val="FootnoteText"/>
      </w:pPr>
      <w:r w:rsidRPr="00EF05D1">
        <w:rPr>
          <w:rStyle w:val="FootnoteReference"/>
        </w:rPr>
        <w:footnoteRef/>
      </w:r>
      <w:r>
        <w:tab/>
        <w:t xml:space="preserve">Code </w:t>
      </w:r>
      <w:r w:rsidRPr="006218E9">
        <w:t>E01941</w:t>
      </w:r>
      <w:r>
        <w:t xml:space="preserve"> in the </w:t>
      </w:r>
      <w:r w:rsidRPr="006218E9">
        <w:t>Register of Commission Expert Groups and Other Similar Entities</w:t>
      </w:r>
      <w:r>
        <w:t>.</w:t>
      </w:r>
    </w:p>
  </w:footnote>
  <w:footnote w:id="30">
    <w:p w14:paraId="5C9B40AE" w14:textId="459ECB12" w:rsidR="005825B9" w:rsidRPr="0045537D" w:rsidRDefault="005825B9">
      <w:pPr>
        <w:pStyle w:val="FootnoteText"/>
        <w:rPr>
          <w:lang w:val="pl-PL"/>
        </w:rPr>
      </w:pPr>
      <w:r w:rsidRPr="00EF05D1">
        <w:rPr>
          <w:rStyle w:val="FootnoteReference"/>
        </w:rPr>
        <w:footnoteRef/>
      </w:r>
      <w:r w:rsidRPr="0045537D">
        <w:rPr>
          <w:lang w:val="pl-PL"/>
        </w:rPr>
        <w:tab/>
      </w:r>
      <w:r w:rsidR="00EB74E0" w:rsidRPr="0045537D">
        <w:rPr>
          <w:lang w:val="pl-PL"/>
        </w:rPr>
        <w:t>SWD(2021) 475</w:t>
      </w:r>
    </w:p>
  </w:footnote>
  <w:footnote w:id="31">
    <w:p w14:paraId="3EEA1C02" w14:textId="07E9D881" w:rsidR="005825B9" w:rsidRPr="0045537D" w:rsidRDefault="005825B9" w:rsidP="00534713">
      <w:pPr>
        <w:pStyle w:val="FootnoteText"/>
        <w:rPr>
          <w:lang w:val="pl-PL"/>
        </w:rPr>
      </w:pPr>
      <w:r w:rsidRPr="00EF05D1">
        <w:rPr>
          <w:rStyle w:val="FootnoteReference"/>
        </w:rPr>
        <w:footnoteRef/>
      </w:r>
      <w:r w:rsidRPr="0045537D">
        <w:rPr>
          <w:lang w:val="pl-PL"/>
        </w:rPr>
        <w:tab/>
        <w:t>OJ L 340, 20.12.2017, p. 1.</w:t>
      </w:r>
    </w:p>
  </w:footnote>
  <w:footnote w:id="32">
    <w:p w14:paraId="4B0D27CE" w14:textId="6FB2CF8C" w:rsidR="005825B9" w:rsidRPr="00CA5179" w:rsidRDefault="005825B9" w:rsidP="00D13454">
      <w:pPr>
        <w:pStyle w:val="FootnoteText"/>
        <w:rPr>
          <w:lang w:val="pl-PL"/>
        </w:rPr>
      </w:pPr>
      <w:r>
        <w:rPr>
          <w:rStyle w:val="FootnoteReference"/>
        </w:rPr>
        <w:footnoteRef/>
      </w:r>
      <w:r w:rsidRPr="00CA5179">
        <w:rPr>
          <w:lang w:val="pl-PL"/>
        </w:rPr>
        <w:tab/>
        <w:t xml:space="preserve">OJ C , , p. </w:t>
      </w:r>
    </w:p>
  </w:footnote>
  <w:footnote w:id="33">
    <w:p w14:paraId="52BCE672" w14:textId="50E74B7A" w:rsidR="005825B9" w:rsidRPr="00AF5CBC" w:rsidRDefault="005825B9" w:rsidP="00D13454">
      <w:pPr>
        <w:pStyle w:val="FootnoteText"/>
        <w:rPr>
          <w:lang w:val="pt-PT"/>
        </w:rPr>
      </w:pPr>
      <w:r>
        <w:rPr>
          <w:rStyle w:val="FootnoteReference"/>
        </w:rPr>
        <w:footnoteRef/>
      </w:r>
      <w:r w:rsidRPr="00AF5CBC">
        <w:rPr>
          <w:lang w:val="pt-PT"/>
        </w:rPr>
        <w:tab/>
        <w:t xml:space="preserve">OJ C , , p. </w:t>
      </w:r>
    </w:p>
  </w:footnote>
  <w:footnote w:id="34">
    <w:p w14:paraId="33E190BC" w14:textId="13476CB7" w:rsidR="005825B9" w:rsidRPr="00AF5CBC" w:rsidRDefault="005825B9">
      <w:pPr>
        <w:pStyle w:val="FootnoteText"/>
        <w:rPr>
          <w:lang w:val="pt-PT"/>
        </w:rPr>
      </w:pPr>
      <w:r w:rsidRPr="00EF05D1">
        <w:rPr>
          <w:rStyle w:val="FootnoteReference"/>
        </w:rPr>
        <w:footnoteRef/>
      </w:r>
      <w:r w:rsidRPr="00AF5CBC">
        <w:rPr>
          <w:lang w:val="pt-PT"/>
        </w:rPr>
        <w:tab/>
        <w:t>COM(2020)789 final</w:t>
      </w:r>
      <w:r w:rsidR="004E170A" w:rsidRPr="00AF5CBC">
        <w:rPr>
          <w:lang w:val="pt-PT"/>
        </w:rPr>
        <w:t>.</w:t>
      </w:r>
    </w:p>
  </w:footnote>
  <w:footnote w:id="35">
    <w:p w14:paraId="6D41F25B" w14:textId="77777777" w:rsidR="005825B9" w:rsidRPr="0082485F" w:rsidRDefault="005825B9" w:rsidP="002143F6">
      <w:pPr>
        <w:pStyle w:val="FootnoteText"/>
      </w:pPr>
      <w:r>
        <w:rPr>
          <w:rStyle w:val="FootnoteReference"/>
        </w:rPr>
        <w:footnoteRef/>
      </w:r>
      <w:r>
        <w:tab/>
      </w:r>
      <w:r w:rsidRPr="003241F7">
        <w:t xml:space="preserve">Directive </w:t>
      </w:r>
      <w:r w:rsidRPr="001C21FA">
        <w:t xml:space="preserve">2010/40/EU </w:t>
      </w:r>
      <w:r>
        <w:t>of the European Parliament and of the Council of 7 July 2010 on the framework for the deployment of Intelligent Transport Systems in the field of road transport and for interfaces with other modes of transport (OJ L 207, 6.8.2010, p. 1).</w:t>
      </w:r>
    </w:p>
  </w:footnote>
  <w:footnote w:id="36">
    <w:p w14:paraId="33354D8A" w14:textId="007B172F" w:rsidR="005825B9" w:rsidRPr="005D3258" w:rsidRDefault="005825B9">
      <w:pPr>
        <w:pStyle w:val="FootnoteText"/>
      </w:pPr>
      <w:r w:rsidRPr="00EF05D1">
        <w:rPr>
          <w:rStyle w:val="FootnoteReference"/>
        </w:rPr>
        <w:footnoteRef/>
      </w:r>
      <w:r>
        <w:tab/>
      </w:r>
      <w:r w:rsidRPr="005D3258">
        <w:t>As certified in accordance with Commission Delegated Regulation (EU) …/…. of XXX on EU standards detailing the level of service and security of EU safe and secure parking areas and procedures for their certification</w:t>
      </w:r>
      <w:r w:rsidR="004E170A">
        <w:t>.</w:t>
      </w:r>
    </w:p>
  </w:footnote>
  <w:footnote w:id="37">
    <w:p w14:paraId="2383178B" w14:textId="77777777" w:rsidR="005825B9" w:rsidRPr="00D04685" w:rsidRDefault="005825B9" w:rsidP="002143F6">
      <w:pPr>
        <w:pStyle w:val="FootnoteText"/>
      </w:pPr>
      <w:r>
        <w:rPr>
          <w:rStyle w:val="FootnoteReference"/>
        </w:rPr>
        <w:footnoteRef/>
      </w:r>
      <w:r>
        <w:tab/>
        <w:t>Communication from the Commission – The European Green Deal, COM(</w:t>
      </w:r>
      <w:r w:rsidRPr="00D04685">
        <w:t>2019) 640 final</w:t>
      </w:r>
      <w:r>
        <w:t>.</w:t>
      </w:r>
    </w:p>
  </w:footnote>
  <w:footnote w:id="38">
    <w:p w14:paraId="2C28D46C" w14:textId="76EA2F77" w:rsidR="005825B9" w:rsidRPr="00BA0340" w:rsidRDefault="005825B9">
      <w:pPr>
        <w:pStyle w:val="FootnoteText"/>
      </w:pPr>
      <w:r w:rsidRPr="00EF05D1">
        <w:rPr>
          <w:rStyle w:val="FootnoteReference"/>
        </w:rPr>
        <w:footnoteRef/>
      </w:r>
      <w:r>
        <w:tab/>
      </w:r>
      <w:r w:rsidRPr="00BA0340">
        <w:t xml:space="preserve">Such as the </w:t>
      </w:r>
      <w:r>
        <w:t xml:space="preserve">Common European </w:t>
      </w:r>
      <w:r w:rsidRPr="00BA0340">
        <w:t xml:space="preserve">Mobility </w:t>
      </w:r>
      <w:r>
        <w:t>d</w:t>
      </w:r>
      <w:r w:rsidRPr="00BA0340">
        <w:t xml:space="preserve">ata </w:t>
      </w:r>
      <w:r>
        <w:t>s</w:t>
      </w:r>
      <w:r w:rsidRPr="00BA0340">
        <w:t>pace</w:t>
      </w:r>
      <w:r>
        <w:t xml:space="preserve"> and its components</w:t>
      </w:r>
      <w:r w:rsidRPr="00BA0340">
        <w:t>, Regulation (EU) 2020/1056 of the European Parliament and of the Council of 15 July 2020 on electronic freight transport information</w:t>
      </w:r>
      <w:r>
        <w:t xml:space="preserve"> (OJ L 249, 31.7.2020, p. 33)</w:t>
      </w:r>
      <w:r w:rsidRPr="00BA0340">
        <w:t>, and the work pursued by the Digital Transport and Logistics Forum (DTLF).</w:t>
      </w:r>
    </w:p>
  </w:footnote>
  <w:footnote w:id="39">
    <w:p w14:paraId="6F7A56A8" w14:textId="2145769B" w:rsidR="005825B9" w:rsidRPr="008B2638" w:rsidRDefault="005825B9">
      <w:pPr>
        <w:pStyle w:val="FootnoteText"/>
      </w:pPr>
      <w:r w:rsidRPr="00EF05D1">
        <w:rPr>
          <w:rStyle w:val="FootnoteReference"/>
        </w:rPr>
        <w:footnoteRef/>
      </w:r>
      <w:r>
        <w:tab/>
      </w:r>
      <w:hyperlink r:id="rId6" w:history="1">
        <w:r w:rsidR="00390925" w:rsidRPr="00B21646">
          <w:rPr>
            <w:rStyle w:val="Hyperlink"/>
          </w:rPr>
          <w:t>https://transport.ec.europa.eu/transport-themes/intelligent-transport-systems/road/action-plan-and-directive_en</w:t>
        </w:r>
      </w:hyperlink>
    </w:p>
  </w:footnote>
  <w:footnote w:id="40">
    <w:p w14:paraId="435B6D7B" w14:textId="233779D8" w:rsidR="005825B9" w:rsidRPr="00632936" w:rsidRDefault="005825B9" w:rsidP="00632936">
      <w:pPr>
        <w:pStyle w:val="FootnoteText"/>
      </w:pPr>
      <w:r w:rsidRPr="00EF05D1">
        <w:rPr>
          <w:rStyle w:val="FootnoteReference"/>
        </w:rPr>
        <w:footnoteRef/>
      </w:r>
      <w:r>
        <w:tab/>
      </w:r>
      <w:r w:rsidRPr="00632936">
        <w:t xml:space="preserve">Commission Delegated Regulation (EU) No 885/2013 of 15 May 2013 supplementing ITS Directive 2010/40/EU of the European Parliament and of the Council with regard to the provision of information services for safe and secure parking places for trucks and commercial vehicles </w:t>
      </w:r>
      <w:r>
        <w:t>(</w:t>
      </w:r>
      <w:r w:rsidRPr="00632936">
        <w:t>OJ L 247, 18.9.2013, p. 1</w:t>
      </w:r>
      <w:r>
        <w:t>);</w:t>
      </w:r>
    </w:p>
    <w:p w14:paraId="2583EAAA" w14:textId="364EF6A5" w:rsidR="005825B9" w:rsidRPr="00632936" w:rsidRDefault="005825B9" w:rsidP="00632936">
      <w:pPr>
        <w:pStyle w:val="FootnoteText"/>
      </w:pPr>
      <w:r w:rsidRPr="00632936">
        <w:tab/>
        <w:t xml:space="preserve">Commission Delegated Regulation (EU) No 886/2013 of 15 May 2013 supplementing Directive 2010/40/EU of the European Parliament and of the Council with regard to data and procedures for the provision, where possible, of road safety-related minimum universal traffic information free of charge to users </w:t>
      </w:r>
      <w:r>
        <w:t>(</w:t>
      </w:r>
      <w:r w:rsidRPr="00632936">
        <w:t>OJ L 247, 18.9.2013, p. 6</w:t>
      </w:r>
      <w:r>
        <w:t>);</w:t>
      </w:r>
    </w:p>
    <w:p w14:paraId="50CE5393" w14:textId="39FA21BC" w:rsidR="005825B9" w:rsidRPr="00632936" w:rsidRDefault="005825B9" w:rsidP="00632936">
      <w:pPr>
        <w:pStyle w:val="FootnoteText"/>
      </w:pPr>
      <w:r w:rsidRPr="00632936">
        <w:tab/>
        <w:t xml:space="preserve">Commission Delegated Regulation (EU) 2015/962 of 18 December 2014 supplementing Directive 2010/40/EU of the European Parliament and of the Council with regard to the provision of EU-wide real-time traffic information services </w:t>
      </w:r>
      <w:r>
        <w:t>(</w:t>
      </w:r>
      <w:r w:rsidRPr="00632936">
        <w:t>OJ L 157, 23.6.2015, p. 21</w:t>
      </w:r>
      <w:r>
        <w:t>);</w:t>
      </w:r>
    </w:p>
    <w:p w14:paraId="166903C0" w14:textId="53E40420" w:rsidR="005825B9" w:rsidRPr="00632936" w:rsidRDefault="005825B9" w:rsidP="00632936">
      <w:pPr>
        <w:pStyle w:val="FootnoteText"/>
      </w:pPr>
      <w:r w:rsidRPr="00632936">
        <w:tab/>
      </w:r>
      <w:r>
        <w:t xml:space="preserve">and </w:t>
      </w:r>
      <w:r w:rsidRPr="00632936">
        <w:t xml:space="preserve">Commission Delegated Regulation (EU) 2017/1926 of 31 May 2017 supplementing Directive 2010/40/EU of the European Parliament and of the Council with regard to the provision of EU-wide multimodal travel information services </w:t>
      </w:r>
      <w:r>
        <w:t>(</w:t>
      </w:r>
      <w:r w:rsidRPr="00632936">
        <w:t>OJ L 272, 21.10.2017, p. 1</w:t>
      </w:r>
      <w:r>
        <w:t>).</w:t>
      </w:r>
    </w:p>
  </w:footnote>
  <w:footnote w:id="41">
    <w:p w14:paraId="55C18BF4" w14:textId="555864F8" w:rsidR="005825B9" w:rsidRPr="003C5237" w:rsidRDefault="005825B9">
      <w:pPr>
        <w:pStyle w:val="FootnoteText"/>
      </w:pPr>
      <w:r w:rsidRPr="00EF05D1">
        <w:rPr>
          <w:rStyle w:val="FootnoteReference"/>
        </w:rPr>
        <w:footnoteRef/>
      </w:r>
      <w:r>
        <w:tab/>
      </w:r>
      <w:hyperlink r:id="rId7" w:history="1">
        <w:r w:rsidR="00390925" w:rsidRPr="00B21646">
          <w:rPr>
            <w:rStyle w:val="Hyperlink"/>
          </w:rPr>
          <w:t>https://transport.ec.europa.eu/transport-themes/intelligent-transport-systems/road/action-plan-and-directive/national-access-points_en</w:t>
        </w:r>
      </w:hyperlink>
    </w:p>
  </w:footnote>
  <w:footnote w:id="42">
    <w:p w14:paraId="7D22FA1C" w14:textId="57E1216C" w:rsidR="005825B9" w:rsidRPr="00A8541B" w:rsidRDefault="005825B9">
      <w:pPr>
        <w:pStyle w:val="FootnoteText"/>
      </w:pPr>
      <w:r w:rsidRPr="00EF05D1">
        <w:rPr>
          <w:rStyle w:val="FootnoteReference"/>
        </w:rPr>
        <w:footnoteRef/>
      </w:r>
      <w:r>
        <w:tab/>
      </w:r>
      <w:r w:rsidRPr="00A8541B">
        <w:t>COM(2020) 66 final</w:t>
      </w:r>
      <w:r w:rsidR="004E170A">
        <w:t>.</w:t>
      </w:r>
    </w:p>
  </w:footnote>
  <w:footnote w:id="43">
    <w:p w14:paraId="7307E592" w14:textId="77F19922" w:rsidR="005825B9" w:rsidRPr="00AB34B3" w:rsidRDefault="005825B9">
      <w:pPr>
        <w:pStyle w:val="FootnoteText"/>
      </w:pPr>
      <w:r>
        <w:rPr>
          <w:rStyle w:val="FootnoteReference"/>
        </w:rPr>
        <w:footnoteRef/>
      </w:r>
      <w:r w:rsidRPr="003D1CDF">
        <w:tab/>
      </w:r>
      <w:r>
        <w:t xml:space="preserve">Code </w:t>
      </w:r>
      <w:r w:rsidRPr="00845C6A">
        <w:t xml:space="preserve">E03188 </w:t>
      </w:r>
      <w:r>
        <w:t xml:space="preserve">in the </w:t>
      </w:r>
      <w:r w:rsidRPr="00A859E9">
        <w:t>Register of Commission Expert Groups and Other Similar Entities</w:t>
      </w:r>
    </w:p>
  </w:footnote>
  <w:footnote w:id="44">
    <w:p w14:paraId="3C15589B" w14:textId="4D79816F" w:rsidR="005825B9" w:rsidRPr="00AB34B3" w:rsidRDefault="005825B9">
      <w:pPr>
        <w:pStyle w:val="FootnoteText"/>
      </w:pPr>
      <w:r>
        <w:rPr>
          <w:rStyle w:val="FootnoteReference"/>
        </w:rPr>
        <w:footnoteRef/>
      </w:r>
      <w:r w:rsidRPr="003D1CDF">
        <w:tab/>
      </w:r>
      <w:r>
        <w:t xml:space="preserve">Code </w:t>
      </w:r>
      <w:r w:rsidRPr="007C19F4">
        <w:t xml:space="preserve">E03657 </w:t>
      </w:r>
      <w:r>
        <w:t xml:space="preserve">in the </w:t>
      </w:r>
      <w:r w:rsidRPr="00A859E9">
        <w:t>Register of Commission Expert Groups and Other Similar Entities</w:t>
      </w:r>
    </w:p>
  </w:footnote>
  <w:footnote w:id="45">
    <w:p w14:paraId="1772812E" w14:textId="3D28C331" w:rsidR="005825B9" w:rsidRPr="00A8541B" w:rsidRDefault="005825B9">
      <w:pPr>
        <w:pStyle w:val="FootnoteText"/>
      </w:pPr>
      <w:r w:rsidRPr="00EF05D1">
        <w:rPr>
          <w:rStyle w:val="FootnoteReference"/>
        </w:rPr>
        <w:footnoteRef/>
      </w:r>
      <w:r>
        <w:tab/>
        <w:t xml:space="preserve">Code </w:t>
      </w:r>
      <w:r w:rsidR="00EB74E0" w:rsidRPr="00EB74E0">
        <w:t>E03826</w:t>
      </w:r>
      <w:r w:rsidR="00EB74E0">
        <w:t xml:space="preserve"> </w:t>
      </w:r>
      <w:r>
        <w:t xml:space="preserve">in the </w:t>
      </w:r>
      <w:r w:rsidRPr="00A859E9">
        <w:t>Register of Commission Expert Groups and Other Similar Entities</w:t>
      </w:r>
    </w:p>
  </w:footnote>
  <w:footnote w:id="46">
    <w:p w14:paraId="1ED27005" w14:textId="3106D29F" w:rsidR="005825B9" w:rsidRPr="00A8541B" w:rsidRDefault="005825B9">
      <w:pPr>
        <w:pStyle w:val="FootnoteText"/>
      </w:pPr>
      <w:r w:rsidRPr="00EF05D1">
        <w:rPr>
          <w:rStyle w:val="FootnoteReference"/>
        </w:rPr>
        <w:footnoteRef/>
      </w:r>
      <w:r>
        <w:tab/>
        <w:t xml:space="preserve">Code </w:t>
      </w:r>
      <w:r w:rsidRPr="00A859E9">
        <w:t>E02481</w:t>
      </w:r>
      <w:r>
        <w:t xml:space="preserve"> in the </w:t>
      </w:r>
      <w:r w:rsidRPr="00A859E9">
        <w:t>Register of Commission Expert Groups and Other Similar Entities</w:t>
      </w:r>
    </w:p>
  </w:footnote>
  <w:footnote w:id="47">
    <w:p w14:paraId="0A202D09" w14:textId="5C74841E" w:rsidR="005825B9" w:rsidRPr="00DD7C48" w:rsidRDefault="005825B9">
      <w:pPr>
        <w:pStyle w:val="FootnoteText"/>
      </w:pPr>
      <w:r w:rsidRPr="00EF05D1">
        <w:rPr>
          <w:rStyle w:val="FootnoteReference"/>
        </w:rPr>
        <w:footnoteRef/>
      </w:r>
      <w:r>
        <w:tab/>
      </w:r>
      <w:r w:rsidRPr="00DD7C48">
        <w:t>Regulation (EU) 2019/2144 of the European Parliament and of the Council of 27 November 2019 on type-approval requirements for motor vehicles and their trailers, and systems, components and separate technical units intended for such vehicles, as regards their general safety and the protection of vehicle occupants and vulnerable road users</w:t>
      </w:r>
      <w:r>
        <w:t>,</w:t>
      </w:r>
      <w:r w:rsidRPr="00DD7C48">
        <w:t xml:space="preserve"> </w:t>
      </w:r>
      <w:r w:rsidRPr="009239BD">
        <w:t>amending Regulation (EU) 2018/858 of the European Parliament</w:t>
      </w:r>
      <w:r>
        <w:t xml:space="preserve"> </w:t>
      </w:r>
      <w:r w:rsidRPr="009239BD">
        <w:t>and of the Council and repealing Regulations (EC) No 78/2009, (EC) No 79/2009 and (EC) No 661/2009 of the European Parliament and of the Council and Commission Regulations (EC) No 631/2009, (EU) No 406/2010, (EU) No 672/2010, (EU) No 1003/2010, (EU) No 1005/2010, (EU) No 1008/2010, (EU) No 1009/2010, (EU) No 19/2011, (EU) No 109/2011, (EU) No 458/2011, (EU) No 65/2012, (EU) No 130/2012, (EU) No 347/2012, (EU) No 351/2012, (EU) No 1230/2012 and (EU) 2015/166</w:t>
      </w:r>
      <w:r>
        <w:t xml:space="preserve"> (</w:t>
      </w:r>
      <w:r w:rsidRPr="00DD7C48">
        <w:t>OJ L 325, 16.12.2019, p. 1</w:t>
      </w:r>
      <w:r>
        <w:t>).</w:t>
      </w:r>
    </w:p>
  </w:footnote>
  <w:footnote w:id="48">
    <w:p w14:paraId="67D4AEC6" w14:textId="77777777" w:rsidR="005825B9" w:rsidRPr="002A644D" w:rsidRDefault="005825B9" w:rsidP="00EA3237">
      <w:pPr>
        <w:pStyle w:val="FootnoteText"/>
      </w:pPr>
      <w:r w:rsidRPr="00EF05D1">
        <w:rPr>
          <w:rStyle w:val="FootnoteReference"/>
        </w:rPr>
        <w:footnoteRef/>
      </w:r>
      <w:r>
        <w:tab/>
      </w:r>
      <w:hyperlink r:id="rId8" w:history="1">
        <w:r w:rsidRPr="007007BD">
          <w:rPr>
            <w:rStyle w:val="Hyperlink"/>
          </w:rPr>
          <w:t>https://op.europa.eu/en/publication-detail/-/publication/dfa0c844-3b5f-11eb-b27b-01aa75ed71a1</w:t>
        </w:r>
      </w:hyperlink>
      <w:r>
        <w:t xml:space="preserve"> </w:t>
      </w:r>
    </w:p>
  </w:footnote>
  <w:footnote w:id="49">
    <w:p w14:paraId="0FCC21B2" w14:textId="2CAA4076" w:rsidR="005825B9" w:rsidRPr="004133B5" w:rsidRDefault="005825B9" w:rsidP="000D0E7B">
      <w:pPr>
        <w:pStyle w:val="FootnoteText"/>
        <w:rPr>
          <w:lang w:val="en-IE"/>
        </w:rPr>
      </w:pPr>
      <w:r w:rsidRPr="00343E27">
        <w:rPr>
          <w:rStyle w:val="FootnoteReference"/>
        </w:rPr>
        <w:footnoteRef/>
      </w:r>
      <w:r w:rsidR="00343E27">
        <w:tab/>
      </w:r>
      <w:r w:rsidRPr="00366AC3">
        <w:t>Regulation (EU) No 182/2011 of the European Parliament and of the Council of 16 February 2011 laying down the rules and general principles concerning mechanisms for control by Member States of the Commission’s exercise of implementing powers</w:t>
      </w:r>
      <w:r>
        <w:t xml:space="preserve"> (</w:t>
      </w:r>
      <w:r w:rsidRPr="00366AC3">
        <w:t>OJ L 55, 28.2.2011, p. 13</w:t>
      </w:r>
      <w:r>
        <w:t>).</w:t>
      </w:r>
    </w:p>
  </w:footnote>
  <w:footnote w:id="50">
    <w:p w14:paraId="0F6C751C" w14:textId="7B5F8827" w:rsidR="005825B9" w:rsidRPr="008F5F5F" w:rsidRDefault="005825B9">
      <w:pPr>
        <w:pStyle w:val="FootnoteText"/>
      </w:pPr>
      <w:r w:rsidRPr="00EF05D1">
        <w:rPr>
          <w:rStyle w:val="FootnoteReference"/>
        </w:rPr>
        <w:footnoteRef/>
      </w:r>
      <w:r>
        <w:tab/>
      </w:r>
      <w:r w:rsidRPr="008F5F5F">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t>(</w:t>
      </w:r>
      <w:r w:rsidRPr="008F5F5F">
        <w:t>OJ L 119, 4.5.2016, p. 1</w:t>
      </w:r>
      <w:r>
        <w:t>).</w:t>
      </w:r>
    </w:p>
  </w:footnote>
  <w:footnote w:id="51">
    <w:p w14:paraId="4ED5678C" w14:textId="78F0B0B3" w:rsidR="005825B9" w:rsidRPr="00F650B0" w:rsidRDefault="005825B9">
      <w:pPr>
        <w:pStyle w:val="FootnoteText"/>
      </w:pPr>
      <w:r w:rsidRPr="00EF05D1">
        <w:rPr>
          <w:rStyle w:val="FootnoteReference"/>
        </w:rPr>
        <w:footnoteRef/>
      </w:r>
      <w:r>
        <w:tab/>
      </w:r>
      <w:r w:rsidRPr="00F650B0">
        <w:t xml:space="preserve">Directive 2002/58/EC of the European Parliament and of the Council of 12 July 2002 concerning the processing of personal data and the protection of privacy in the electronic communications sector (Directive on privacy and electronic communications) </w:t>
      </w:r>
      <w:r>
        <w:t>(</w:t>
      </w:r>
      <w:r w:rsidRPr="00F650B0">
        <w:t>OJ L 201, 31.7.2002, p. 37</w:t>
      </w:r>
      <w:r>
        <w:t>).</w:t>
      </w:r>
    </w:p>
  </w:footnote>
  <w:footnote w:id="52">
    <w:p w14:paraId="291C12DC" w14:textId="349C0A15" w:rsidR="005825B9" w:rsidRDefault="005825B9" w:rsidP="0020377A">
      <w:pPr>
        <w:pStyle w:val="FootnoteText"/>
      </w:pPr>
      <w:r w:rsidRPr="00343E27">
        <w:rPr>
          <w:rStyle w:val="FootnoteReference"/>
        </w:rPr>
        <w:footnoteRef/>
      </w:r>
      <w:r w:rsidR="00343E27">
        <w:tab/>
      </w:r>
      <w:r>
        <w:t xml:space="preserve">Directive 2001/95/EC of the </w:t>
      </w:r>
      <w:r>
        <w:rPr>
          <w:lang w:val="en-IE"/>
        </w:rPr>
        <w:t>European Parliament and of the Council of 3 December 2001, on general product safety (OJ L 11, 15.1.2002, p.</w:t>
      </w:r>
      <w:r w:rsidR="004E170A">
        <w:rPr>
          <w:lang w:val="en-IE"/>
        </w:rPr>
        <w:t xml:space="preserve"> </w:t>
      </w:r>
      <w:r>
        <w:rPr>
          <w:lang w:val="en-IE"/>
        </w:rPr>
        <w:t>4).</w:t>
      </w:r>
    </w:p>
  </w:footnote>
  <w:footnote w:id="53">
    <w:p w14:paraId="22EFAF5A" w14:textId="0D49832F" w:rsidR="005825B9" w:rsidRPr="00B70A29" w:rsidRDefault="005825B9">
      <w:pPr>
        <w:pStyle w:val="FootnoteText"/>
      </w:pPr>
      <w:r w:rsidRPr="00EF05D1">
        <w:rPr>
          <w:rStyle w:val="FootnoteReference"/>
        </w:rPr>
        <w:footnoteRef/>
      </w:r>
      <w:r>
        <w:tab/>
      </w:r>
      <w:r w:rsidRPr="00B70A29">
        <w:t>Decision No 768/2008/EC of the European Parliament and of the Council of 9 July 2008 on a common framework for the marketing of products</w:t>
      </w:r>
      <w:r w:rsidRPr="008E48A3">
        <w:t>, and repealing Council Decision 93/465/EEC</w:t>
      </w:r>
      <w:r>
        <w:t xml:space="preserve"> (</w:t>
      </w:r>
      <w:r w:rsidRPr="00B70A29">
        <w:t>OJ L 218, 13.8.2008, p. 82</w:t>
      </w:r>
      <w:r>
        <w:t>).</w:t>
      </w:r>
    </w:p>
  </w:footnote>
  <w:footnote w:id="54">
    <w:p w14:paraId="6026DE85" w14:textId="36A0A720" w:rsidR="005825B9" w:rsidRPr="00A540F8" w:rsidRDefault="005825B9">
      <w:pPr>
        <w:pStyle w:val="FootnoteText"/>
      </w:pPr>
      <w:r w:rsidRPr="00EF05D1">
        <w:rPr>
          <w:rStyle w:val="FootnoteReference"/>
        </w:rPr>
        <w:footnoteRef/>
      </w:r>
      <w:r>
        <w:tab/>
      </w:r>
      <w:r w:rsidRPr="00A540F8">
        <w:t xml:space="preserve">Regulation (EU) 2018/858 of the European Parliament and of the Council of 30 May 2018 on the approval and market surveillance of motor vehicles and their trailers, and of systems, components and separate technical units intended for such vehicles, amending Regulations (EC) No 715/2007 and (EC) No 595/2009 and repealing Directive 2007/46/EC </w:t>
      </w:r>
      <w:r>
        <w:t>(</w:t>
      </w:r>
      <w:r w:rsidRPr="00A540F8">
        <w:t>OJ L 151, 14.6.2018, p. 1</w:t>
      </w:r>
      <w:r>
        <w:t>).</w:t>
      </w:r>
    </w:p>
  </w:footnote>
  <w:footnote w:id="55">
    <w:p w14:paraId="2B42F20A" w14:textId="77777777" w:rsidR="005825B9" w:rsidRPr="00C87873" w:rsidRDefault="005825B9" w:rsidP="00C137CE">
      <w:pPr>
        <w:pStyle w:val="FootnoteText"/>
      </w:pPr>
      <w:r w:rsidRPr="00EF05D1">
        <w:rPr>
          <w:rStyle w:val="FootnoteReference"/>
        </w:rPr>
        <w:footnoteRef/>
      </w:r>
      <w:r>
        <w:tab/>
      </w:r>
      <w:r w:rsidRPr="00C87873">
        <w:t xml:space="preserve">Regulation (EU) No 167/2013 of the European Parliament and of the Council of 5 February 2013 on the approval and market surveillance of agricultural and forestry vehicles </w:t>
      </w:r>
      <w:r>
        <w:t>(</w:t>
      </w:r>
      <w:r w:rsidRPr="00C87873">
        <w:t>OJ L 60, 2.3.2013, p. 1</w:t>
      </w:r>
      <w:r>
        <w:t>).</w:t>
      </w:r>
    </w:p>
  </w:footnote>
  <w:footnote w:id="56">
    <w:p w14:paraId="4E337174" w14:textId="36BBFD6F" w:rsidR="005825B9" w:rsidRPr="00DB7A0C" w:rsidRDefault="005825B9">
      <w:pPr>
        <w:pStyle w:val="FootnoteText"/>
      </w:pPr>
      <w:r w:rsidRPr="00EF05D1">
        <w:rPr>
          <w:rStyle w:val="FootnoteReference"/>
        </w:rPr>
        <w:footnoteRef/>
      </w:r>
      <w:r>
        <w:tab/>
      </w:r>
      <w:r w:rsidRPr="00DB7A0C">
        <w:t xml:space="preserve">Regulation (EU) No 168/2013 of the European Parliament and of the Council of 15 January 2013 on the approval and market surveillance of two- or three-wheel vehicles and quadricycles </w:t>
      </w:r>
      <w:r>
        <w:t>(</w:t>
      </w:r>
      <w:r w:rsidRPr="00DB7A0C">
        <w:t>OJ L 60, 2.3.2013, p. 52</w:t>
      </w:r>
      <w:r>
        <w:t>).</w:t>
      </w:r>
    </w:p>
  </w:footnote>
  <w:footnote w:id="57">
    <w:p w14:paraId="75E848A4" w14:textId="67C14B14" w:rsidR="00C17273" w:rsidRPr="007F1434" w:rsidRDefault="00C17273">
      <w:pPr>
        <w:pStyle w:val="FootnoteText"/>
      </w:pPr>
      <w:r>
        <w:rPr>
          <w:rStyle w:val="FootnoteReference"/>
        </w:rPr>
        <w:footnoteRef/>
      </w:r>
      <w:r w:rsidRPr="00EE6469">
        <w:tab/>
      </w:r>
      <w:r w:rsidR="00AF2DC9" w:rsidRPr="00C44194">
        <w:rPr>
          <w:lang w:val="en-US"/>
        </w:rPr>
        <w:t>Proposal for a Regulation of the European Parliament and of the Council laying down harmonised rules on artificial intelligence (artificial intelligence act) and amending certain Union legislative acts</w:t>
      </w:r>
      <w:r w:rsidR="00AF2DC9">
        <w:rPr>
          <w:lang w:val="en-US"/>
        </w:rPr>
        <w:t xml:space="preserve"> (</w:t>
      </w:r>
      <w:r w:rsidRPr="00EE6469">
        <w:t>COM(2021) 206 final</w:t>
      </w:r>
      <w:r w:rsidR="00AF2DC9">
        <w:t>)</w:t>
      </w:r>
      <w:r w:rsidRPr="00EE6469">
        <w:t>.</w:t>
      </w:r>
    </w:p>
  </w:footnote>
  <w:footnote w:id="58">
    <w:p w14:paraId="207BC579" w14:textId="58A20DFC" w:rsidR="005825B9" w:rsidRPr="009F70D7" w:rsidRDefault="005825B9">
      <w:pPr>
        <w:pStyle w:val="FootnoteText"/>
      </w:pPr>
      <w:r w:rsidRPr="00EF05D1">
        <w:rPr>
          <w:rStyle w:val="FootnoteReference"/>
        </w:rPr>
        <w:footnoteRef/>
      </w:r>
      <w:r>
        <w:tab/>
      </w:r>
      <w:r w:rsidRPr="009F70D7">
        <w:t>Regulation (EU) 2021/696 of the European Parliament and of the Council of 28 April 2021 establishing the Union Space Programme and the European Union Agency for the Space Programme</w:t>
      </w:r>
      <w:r>
        <w:t xml:space="preserve"> (</w:t>
      </w:r>
      <w:r w:rsidRPr="009F70D7">
        <w:t>OJ L 170, 12.5.2021, p. 69</w:t>
      </w:r>
      <w:r>
        <w:t>).</w:t>
      </w:r>
    </w:p>
  </w:footnote>
  <w:footnote w:id="59">
    <w:p w14:paraId="47536B4E" w14:textId="47BF684F" w:rsidR="005825B9" w:rsidRPr="00366AC3" w:rsidRDefault="005825B9">
      <w:pPr>
        <w:pStyle w:val="FootnoteText"/>
        <w:rPr>
          <w:rStyle w:val="FootnoteReference"/>
        </w:rPr>
      </w:pPr>
      <w:r w:rsidRPr="00EF05D1">
        <w:rPr>
          <w:rStyle w:val="FootnoteReference"/>
        </w:rPr>
        <w:footnoteRef/>
      </w:r>
      <w:r>
        <w:tab/>
      </w:r>
      <w:r w:rsidRPr="00366AC3">
        <w:t>Regulation (EU) No 182/2011 of the European Parliament and of the Council of 16 February 2011 laying down the rules and general principles concerning mechanisms for control by Member States of the Commission’s exercise of implementing powers</w:t>
      </w:r>
      <w:r>
        <w:t xml:space="preserve"> (</w:t>
      </w:r>
      <w:r w:rsidRPr="00366AC3">
        <w:t>OJ L 55, 28.2.2011, p. 13</w:t>
      </w:r>
      <w:r>
        <w:t>).</w:t>
      </w:r>
    </w:p>
  </w:footnote>
  <w:footnote w:id="60">
    <w:p w14:paraId="66485996" w14:textId="36D0A4BF" w:rsidR="005825B9" w:rsidRPr="00FD61DA" w:rsidRDefault="005825B9">
      <w:pPr>
        <w:pStyle w:val="FootnoteText"/>
      </w:pPr>
      <w:r w:rsidRPr="00EF05D1">
        <w:rPr>
          <w:rStyle w:val="FootnoteReference"/>
        </w:rPr>
        <w:footnoteRef/>
      </w:r>
      <w:r>
        <w:tab/>
      </w:r>
      <w:r w:rsidRPr="00FD61DA">
        <w:t>Interinstitutional Agreement between the European Parliament, the Council of the European Union and the European Commission on Better Law-Making</w:t>
      </w:r>
      <w:r>
        <w:t xml:space="preserve"> (</w:t>
      </w:r>
      <w:r w:rsidRPr="00FD61DA">
        <w:t>OJ L 123, 12.5.2016, p. 1</w:t>
      </w:r>
      <w:r>
        <w:t>).</w:t>
      </w:r>
    </w:p>
  </w:footnote>
  <w:footnote w:id="61">
    <w:p w14:paraId="5AB250F2" w14:textId="20FB84B3" w:rsidR="005825B9" w:rsidRPr="00F93E25" w:rsidRDefault="005825B9">
      <w:pPr>
        <w:pStyle w:val="FootnoteText"/>
      </w:pPr>
      <w:r w:rsidRPr="00EF05D1">
        <w:rPr>
          <w:rStyle w:val="FootnoteReference"/>
        </w:rPr>
        <w:footnoteRef/>
      </w:r>
      <w:r>
        <w:tab/>
      </w:r>
      <w:r w:rsidRPr="00F93E25">
        <w:t>Regulation (EU) No 165/2014 of the European Parliament and of the Council of 4 February 2014 on tachographs in road transport</w:t>
      </w:r>
      <w:r>
        <w:t xml:space="preserve"> (</w:t>
      </w:r>
      <w:r w:rsidRPr="00F93E25">
        <w:t>OJ L 60, 28.2.2014, p. 1</w:t>
      </w:r>
      <w:r>
        <w:t>).</w:t>
      </w:r>
    </w:p>
  </w:footnote>
  <w:footnote w:id="62">
    <w:p w14:paraId="1CE0AB2E" w14:textId="31420FDA" w:rsidR="005825B9" w:rsidRPr="00C54BBE" w:rsidRDefault="005825B9">
      <w:pPr>
        <w:pStyle w:val="FootnoteText"/>
      </w:pPr>
      <w:r w:rsidRPr="00EF05D1">
        <w:rPr>
          <w:rStyle w:val="FootnoteReference"/>
        </w:rPr>
        <w:footnoteRef/>
      </w:r>
      <w:r>
        <w:tab/>
      </w:r>
      <w:r w:rsidRPr="00C54BBE">
        <w:t>Regulation (EU) 2019/1239 of the European Parliament and of the Council of 20 June 2019 establishing a European Maritime Single Window environment and repealing Directive 2010/65/EU</w:t>
      </w:r>
      <w:r>
        <w:t xml:space="preserve"> (</w:t>
      </w:r>
      <w:r w:rsidRPr="00C54BBE">
        <w:t>OJ L 198, 25.7.2019, p. 64</w:t>
      </w:r>
      <w:r>
        <w:t>).</w:t>
      </w:r>
    </w:p>
  </w:footnote>
  <w:footnote w:id="63">
    <w:p w14:paraId="530FD916" w14:textId="14BD8791" w:rsidR="005825B9" w:rsidRPr="00C54BBE" w:rsidRDefault="005825B9">
      <w:pPr>
        <w:pStyle w:val="FootnoteText"/>
      </w:pPr>
      <w:r w:rsidRPr="00EF05D1">
        <w:rPr>
          <w:rStyle w:val="FootnoteReference"/>
        </w:rPr>
        <w:footnoteRef/>
      </w:r>
      <w:r>
        <w:tab/>
      </w:r>
      <w:r w:rsidRPr="00C54BBE">
        <w:t>Regulation (EU) 2020/1056 of the European Parliament and of the Council of 15 July 2020 on electronic freight transport information</w:t>
      </w:r>
      <w:r>
        <w:t xml:space="preserve"> (</w:t>
      </w:r>
      <w:r w:rsidRPr="00C54BBE">
        <w:t>OJ L 249, 31.7.2020, p. 33</w:t>
      </w:r>
      <w:r>
        <w:t>).</w:t>
      </w:r>
    </w:p>
  </w:footnote>
  <w:footnote w:id="64">
    <w:p w14:paraId="05D8474F" w14:textId="64C81D04" w:rsidR="005825B9" w:rsidRPr="004014E7" w:rsidRDefault="005825B9">
      <w:pPr>
        <w:pStyle w:val="FootnoteText"/>
      </w:pPr>
      <w:r w:rsidRPr="00EF05D1">
        <w:rPr>
          <w:rStyle w:val="FootnoteReference"/>
        </w:rPr>
        <w:footnoteRef/>
      </w:r>
      <w:r>
        <w:tab/>
      </w:r>
      <w:r w:rsidRPr="004014E7">
        <w:t>Directive 2007/2/EC of the European Parliament and of the Council of 14 March 2007 establishing an Infrastructure for Spatial Information in the European Community (INSPIRE)</w:t>
      </w:r>
      <w:r>
        <w:t xml:space="preserve"> (</w:t>
      </w:r>
      <w:r w:rsidRPr="004014E7">
        <w:t>OJ L 108, 25.4.2007, p. 1</w:t>
      </w:r>
      <w:r>
        <w:t>).</w:t>
      </w:r>
    </w:p>
  </w:footnote>
  <w:footnote w:id="65">
    <w:p w14:paraId="0D329EAA" w14:textId="77777777" w:rsidR="005825B9" w:rsidRPr="00B31AA4" w:rsidRDefault="005825B9" w:rsidP="00CD006B">
      <w:pPr>
        <w:pStyle w:val="FootnoteText"/>
      </w:pPr>
      <w:r w:rsidRPr="00EF05D1">
        <w:rPr>
          <w:rStyle w:val="FootnoteReference"/>
        </w:rPr>
        <w:footnoteRef/>
      </w:r>
      <w:r>
        <w:tab/>
      </w:r>
      <w:r w:rsidRPr="00B31AA4">
        <w:t>Directive (EU) 2019/520 of the European Parliament and of the Council of 19 March 2019 on the interoperability of electronic road toll systems and facilitating cross-border exchange of information on the failure to pay road fees in the Union</w:t>
      </w:r>
      <w:r>
        <w:t xml:space="preserve"> (</w:t>
      </w:r>
      <w:r w:rsidRPr="00B31AA4">
        <w:t>OJ L 91, 29.3.2019, p. 45</w:t>
      </w:r>
      <w:r>
        <w:t>).</w:t>
      </w:r>
    </w:p>
  </w:footnote>
  <w:footnote w:id="66">
    <w:p w14:paraId="55345626" w14:textId="37F1B57A" w:rsidR="005825B9" w:rsidRPr="0045537D" w:rsidRDefault="005825B9" w:rsidP="00D13454">
      <w:pPr>
        <w:pStyle w:val="FootnoteText"/>
        <w:rPr>
          <w:lang w:val="en-IE"/>
        </w:rPr>
      </w:pPr>
      <w:r>
        <w:rPr>
          <w:rStyle w:val="FootnoteReference"/>
        </w:rPr>
        <w:footnoteRef/>
      </w:r>
      <w:r w:rsidRPr="0045537D">
        <w:rPr>
          <w:lang w:val="en-IE"/>
        </w:rPr>
        <w:tab/>
        <w:t>OJ C 369, 17.12.2011, p. 14.</w:t>
      </w:r>
    </w:p>
  </w:footnote>
  <w:footnote w:id="67">
    <w:p w14:paraId="0401CAB1" w14:textId="77777777" w:rsidR="005825B9" w:rsidRPr="00166C7D" w:rsidRDefault="005825B9" w:rsidP="00CD006B">
      <w:pPr>
        <w:pStyle w:val="FootnoteText"/>
      </w:pPr>
      <w:r>
        <w:rPr>
          <w:rStyle w:val="FootnoteReference"/>
        </w:rPr>
        <w:footnoteRef/>
      </w:r>
      <w:r>
        <w:tab/>
      </w:r>
      <w:r w:rsidRPr="00322D3A">
        <w:t xml:space="preserve">Regulation (EU) 2018/1725 </w:t>
      </w:r>
      <w:r w:rsidRPr="00166C7D">
        <w:t>of the European Parliament and of the Council</w:t>
      </w:r>
      <w:r>
        <w:t xml:space="preserve"> of 23 October 2018 on the protection of natural persons with regard to the processing of personal data by the Union institutions, bodies, offices and agencies and on the free movement of such data, and repealing Regulation (EC) No 45/2001 and Decision No 1247/2002/EC (</w:t>
      </w:r>
      <w:r w:rsidRPr="00166C7D">
        <w:t>OJ L 295, 21.11.2018, p. 39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1CC39" w14:textId="77777777" w:rsidR="00AF5CBC" w:rsidRPr="00AF5CBC" w:rsidRDefault="00AF5CBC" w:rsidP="00AF5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76878" w14:textId="4DAAA0AC" w:rsidR="00AF5CBC" w:rsidRPr="00AF5CBC" w:rsidRDefault="00AF5CBC" w:rsidP="00AF5CBC">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D52D2" w14:textId="79AFBEFD" w:rsidR="00AF5CBC" w:rsidRPr="00AF5CBC" w:rsidRDefault="00AF5CBC" w:rsidP="00AF5CBC">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49CC" w14:textId="77777777" w:rsidR="00AF5CBC" w:rsidRDefault="00AF5C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E0C1" w14:textId="77777777" w:rsidR="00AF5CBC" w:rsidRDefault="00AF5C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71B51" w14:textId="77777777" w:rsidR="00AF5CBC" w:rsidRDefault="00AF5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5740AFD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8DE9F96"/>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27AA32A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496790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CFA0320"/>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5EA9C6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E4982BD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pStyle w:val="NumPar5"/>
      <w:lvlText w:val="(%5)"/>
      <w:lvlJc w:val="left"/>
      <w:pPr>
        <w:ind w:left="1800" w:hanging="360"/>
      </w:pPr>
    </w:lvl>
    <w:lvl w:ilvl="5">
      <w:start w:val="1"/>
      <w:numFmt w:val="lowerRoman"/>
      <w:pStyle w:val="NumPar6"/>
      <w:lvlText w:val="(%6)"/>
      <w:lvlJc w:val="left"/>
      <w:pPr>
        <w:ind w:left="2160" w:hanging="360"/>
      </w:pPr>
    </w:lvl>
    <w:lvl w:ilvl="6">
      <w:start w:val="1"/>
      <w:numFmt w:val="decimal"/>
      <w:pStyle w:val="NumPar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0"/>
  </w:num>
  <w:num w:numId="3">
    <w:abstractNumId w:val="7"/>
  </w:num>
  <w:num w:numId="4">
    <w:abstractNumId w:val="5"/>
  </w:num>
  <w:num w:numId="5">
    <w:abstractNumId w:val="4"/>
  </w:num>
  <w:num w:numId="6">
    <w:abstractNumId w:val="3"/>
  </w:num>
  <w:num w:numId="7">
    <w:abstractNumId w:val="19"/>
    <w:lvlOverride w:ilvl="0">
      <w:startOverride w:val="1"/>
    </w:lvlOverride>
  </w:num>
  <w:num w:numId="8">
    <w:abstractNumId w:val="12"/>
    <w:lvlOverride w:ilvl="0">
      <w:startOverride w:val="1"/>
    </w:lvlOverride>
  </w:num>
  <w:num w:numId="9">
    <w:abstractNumId w:val="2"/>
  </w:num>
  <w:num w:numId="10">
    <w:abstractNumId w:val="1"/>
  </w:num>
  <w:num w:numId="11">
    <w:abstractNumId w:val="19"/>
    <w:lvlOverride w:ilvl="0">
      <w:startOverride w:val="1"/>
    </w:lvlOverride>
  </w:num>
  <w:num w:numId="12">
    <w:abstractNumId w:val="20"/>
  </w:num>
  <w:num w:numId="13">
    <w:abstractNumId w:val="14"/>
  </w:num>
  <w:num w:numId="14">
    <w:abstractNumId w:val="9"/>
  </w:num>
  <w:num w:numId="15">
    <w:abstractNumId w:val="19"/>
  </w:num>
  <w:num w:numId="16">
    <w:abstractNumId w:val="12"/>
  </w:num>
  <w:num w:numId="17">
    <w:abstractNumId w:val="21"/>
  </w:num>
  <w:num w:numId="18">
    <w:abstractNumId w:val="11"/>
  </w:num>
  <w:num w:numId="19">
    <w:abstractNumId w:val="13"/>
  </w:num>
  <w:num w:numId="20">
    <w:abstractNumId w:val="9"/>
  </w:num>
  <w:num w:numId="21">
    <w:abstractNumId w:val="20"/>
  </w:num>
  <w:num w:numId="22">
    <w:abstractNumId w:val="8"/>
  </w:num>
  <w:num w:numId="23">
    <w:abstractNumId w:val="15"/>
  </w:num>
  <w:num w:numId="24">
    <w:abstractNumId w:val="17"/>
  </w:num>
  <w:num w:numId="25">
    <w:abstractNumId w:val="18"/>
  </w:num>
  <w:num w:numId="26">
    <w:abstractNumId w:val="10"/>
  </w:num>
  <w:num w:numId="27">
    <w:abstractNumId w:val="16"/>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en-IE" w:vendorID="64" w:dllVersion="131078" w:nlCheck="1" w:checkStyle="1"/>
  <w:attachedTemplate r:id="rId1"/>
  <w:defaultTabStop w:val="720"/>
  <w:characterSpacingControl w:val="doNotCompress"/>
  <w:hdrShapeDefaults>
    <o:shapedefaults v:ext="edit" spidmax="1556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CR_RefLast" w:val="0"/>
    <w:docVar w:name="DocuWriteMetaData" w:val="&lt;metadataset docuwriteversion=&quot;4.6.2&quot; technicalblockguid=&quot;4943209815541989345&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headingtext text=&quot;PROPOSAL&quot;&gt;_x000d__x000a_      &lt;formattedtext&gt;_x000d__x000a_        &lt;xaml text=&quot;PROPOSAL&quot;&gt;&amp;lt;FlowDocument xmlns=&quot;http://schemas.microsoft.com/winfx/2006/xaml/presentation&quot;&amp;gt;&amp;lt;Paragraph&amp;gt;PROPOSAL&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1-12-16&lt;/text&gt;_x000d__x000a_  &lt;/metadata&gt;_x000d__x000a_  &lt;metadata key=&quot;md_Prefix&quot;&gt;_x000d__x000a_    &lt;text&gt;&lt;/text&gt;_x000d__x000a_  &lt;/metadata&gt;_x000d__x000a_  &lt;metadata key=&quot;md_DocumentNumber&quot;&gt;_x000d__x000a_    &lt;text&gt;15114&lt;/text&gt;_x000d__x000a_  &lt;/metadata&gt;_x000d__x000a_  &lt;metadata key=&quot;md_YearDocumentNumber&quot;&gt;_x000d__x000a_    &lt;text&gt;2021&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TRANS 761&lt;/text&gt;_x000d__x000a_      &lt;text&gt;TELECOM 465&lt;/text&gt;_x000d__x000a_      &lt;text&gt;IND 390&lt;/text&gt;_x000d__x000a_      &lt;text&gt;CODEC 1671&lt;/text&gt;_x000d__x000a_      &lt;text&gt;DATAPROTECT 295&lt;/text&gt;_x000d__x000a_      &lt;text&gt;DIGIT 190&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1/0419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33&quot; text=&quot;Secretary-General of the European Commission, signed by Ms Martine DEPREZ, Director&quot; /&gt;_x000d__x000a_    &lt;/basicdatatype&gt;_x000d__x000a_  &lt;/metadata&gt;_x000d__x000a_  &lt;metadata key=&quot;md_Recipient&quot;&gt;_x000d__x000a_    &lt;basicdatatype&gt;_x000d__x000a_      &lt;recipient key=&quot;re_02&quot; text=&quot;Mr Jeppe TRANHOLM-MIKKELSEN, Secretary-General of the Council of the European Union&quot; /&gt;_x000d__x000a_    &lt;/basicdatatype&gt;_x000d__x000a_  &lt;/metadata&gt;_x000d__x000a_  &lt;metadata key=&quot;md_DateOfReceipt&quot;&gt;_x000d__x000a_    &lt;text&gt;2021-12-15&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1) 813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oposal for a DIRECTIVE OF THE EUROPEAN PARLIAMENT AND OF THE COUNCIL amending Directive 2010/40/EU on the framework for the deployment of Intelligent Transport Systems in the field of road transport and for interfaces with other modes of transport&quot;&gt;&amp;lt;FlowDocument FontFamily=&quot;Segoe UI&quot; FontSize=&quot;12&quot; PagePadding=&quot;2,2,2,2&quot; AllowDrop=&quot;False&quot; xmlns=&quot;http://schemas.microsoft.com/winfx/2006/xaml/presentation&quot;&amp;gt;&amp;lt;Paragraph&amp;gt;Proposal for a DIRECTIVE OF THE EUROPEAN PARLIAMENT AND OF THE COUNCIL amending Directive 2010/40/EU on the framework for the deployment of Intelligent Transport Systems in the field of road transport and for interfaces with other modes of transport&amp;lt;/Paragraph&amp;gt;&amp;lt;/FlowDocument&amp;gt;&lt;/xaml&gt;_x000d__x000a_  &lt;/metadata&gt;_x000d__x000a_  &lt;metadata key=&quot;md_SubjectFootnote&quot; /&gt;_x000d__x000a_  &lt;metadata key=&quot;md_DG&quot;&gt;_x000d__x000a_    &lt;text&gt;TREE.2.A&lt;/text&gt;_x000d__x000a_  &lt;/metadata&gt;_x000d__x000a_  &lt;metadata key=&quot;md_Initials&quot;&gt;_x000d__x000a_    &lt;text&gt;JL/cf&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1&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DIRECTIVE OF THE EUROPEAN PARLIAMENT AND OF THE COUNCIL&lt;/text&gt;_x000d__x000a_  &lt;/metadata&gt;_x000d__x000a_  &lt;metadata key=&quot;md_SourceDocTitle&quot;&gt;_x000d__x000a_    &lt;text&gt;amending Directive 2010/40/EU on the framework for the deployment of Intelligent Transport Systems in the field of road transport and for interfaces with other modes of transport&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 /&gt;_x000d__x000a_  &lt;metadata key=&quot;md_eAgendaLinkStatus&quot; /&gt;_x000d__x000a_  &lt;metadata key=&quot;md_Caveat&quot;&gt;_x000d__x000a_    &lt;text&gt;&lt;/text&gt;_x000d__x000a_  &lt;/metadata&gt;_x000d__x000a_  &lt;metadata key=&quot;md_TechnicalKey&quot; /&gt;_x000d__x000a_&lt;/metadataset&gt;"/>
    <w:docVar w:name="DQCDateTime" w:val="2021-12-14 10:40:1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2179F25-44F4-4072-A48D-079EB150A7DE"/>
    <w:docVar w:name="LW_COVERPAGE_TYPE" w:val="1"/>
    <w:docVar w:name="LW_CROSSREFERENCE" w:val="{SEC(2021) 436 final} - {SWD(2021) 474 final} - {SWD(2021) 475 final}"/>
    <w:docVar w:name="LW_DocType" w:val="COM"/>
    <w:docVar w:name="LW_EMISSION" w:val="14.12.2021"/>
    <w:docVar w:name="LW_EMISSION_ISODATE" w:val="2021-12-14"/>
    <w:docVar w:name="LW_EMISSION_LOCATION" w:val="STR"/>
    <w:docVar w:name="LW_EMISSION_PREFIX" w:val="Strasbourg, "/>
    <w:docVar w:name="LW_EMISSION_SUFFIX" w:val=" "/>
    <w:docVar w:name="LW_ID_DOCMODEL" w:val="SJ-024"/>
    <w:docVar w:name="LW_ID_DOCSIGNATURE" w:val="SJ-024"/>
    <w:docVar w:name="LW_ID_DOCSTRUCTURE" w:val="COM/PL/ORG"/>
    <w:docVar w:name="LW_ID_DOCTYPE" w:val="SJ-024"/>
    <w:docVar w:name="LW_ID_EXP.MOTIFS.NEW" w:val="EM_PL_"/>
    <w:docVar w:name="LW_ID_STATUT" w:val="SJ-024"/>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419"/>
    <w:docVar w:name="LW_REF.II.NEW.CP_YEAR" w:val="2021"/>
    <w:docVar w:name="LW_REF.INST.NEW" w:val="COM"/>
    <w:docVar w:name="LW_REF.INST.NEW_ADOPTED" w:val="final"/>
    <w:docVar w:name="LW_REF.INST.NEW_TEXT" w:val="(2021) 8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amending Directive 2010/40/EU on the framework for the deployment of Intelligent Transport Systems in the field of road transport and for interfaces with other modes of transport"/>
    <w:docVar w:name="LW_TYPE.DOC.CP" w:val="DIRECTIVE OF THE EUROPEAN PARLIAMENT AND OF THE COUNCIL"/>
    <w:docVar w:name="LwApiVersions" w:val="LW4CoDe 1.23.2.0; LW 8.0, Build 20211117"/>
  </w:docVars>
  <w:rsids>
    <w:rsidRoot w:val="00D94544"/>
    <w:rsid w:val="00002654"/>
    <w:rsid w:val="00003AAC"/>
    <w:rsid w:val="00005017"/>
    <w:rsid w:val="00005C47"/>
    <w:rsid w:val="00006887"/>
    <w:rsid w:val="000107E2"/>
    <w:rsid w:val="00016386"/>
    <w:rsid w:val="00022C6B"/>
    <w:rsid w:val="00023D5A"/>
    <w:rsid w:val="00026326"/>
    <w:rsid w:val="00031C51"/>
    <w:rsid w:val="00034CAF"/>
    <w:rsid w:val="00035D87"/>
    <w:rsid w:val="00035E72"/>
    <w:rsid w:val="00037235"/>
    <w:rsid w:val="00042AC2"/>
    <w:rsid w:val="000449C8"/>
    <w:rsid w:val="00045167"/>
    <w:rsid w:val="00047FCA"/>
    <w:rsid w:val="00060484"/>
    <w:rsid w:val="0006395D"/>
    <w:rsid w:val="00064F95"/>
    <w:rsid w:val="00071393"/>
    <w:rsid w:val="0007411B"/>
    <w:rsid w:val="000765E5"/>
    <w:rsid w:val="00076D72"/>
    <w:rsid w:val="000772F9"/>
    <w:rsid w:val="00080357"/>
    <w:rsid w:val="00081576"/>
    <w:rsid w:val="00083706"/>
    <w:rsid w:val="00083E30"/>
    <w:rsid w:val="00087095"/>
    <w:rsid w:val="00093A0F"/>
    <w:rsid w:val="000973D2"/>
    <w:rsid w:val="000A0295"/>
    <w:rsid w:val="000A0881"/>
    <w:rsid w:val="000A10AB"/>
    <w:rsid w:val="000A222E"/>
    <w:rsid w:val="000A3E06"/>
    <w:rsid w:val="000A4861"/>
    <w:rsid w:val="000A66B7"/>
    <w:rsid w:val="000A7517"/>
    <w:rsid w:val="000B676F"/>
    <w:rsid w:val="000B7E03"/>
    <w:rsid w:val="000C20EE"/>
    <w:rsid w:val="000C2A84"/>
    <w:rsid w:val="000C37A3"/>
    <w:rsid w:val="000C3D62"/>
    <w:rsid w:val="000C452B"/>
    <w:rsid w:val="000C4816"/>
    <w:rsid w:val="000C76E9"/>
    <w:rsid w:val="000D0E7B"/>
    <w:rsid w:val="000D2E4F"/>
    <w:rsid w:val="000D35FD"/>
    <w:rsid w:val="000D3F3C"/>
    <w:rsid w:val="000D4718"/>
    <w:rsid w:val="000D637A"/>
    <w:rsid w:val="000E0921"/>
    <w:rsid w:val="000E184F"/>
    <w:rsid w:val="000E198E"/>
    <w:rsid w:val="000E5F07"/>
    <w:rsid w:val="000F4988"/>
    <w:rsid w:val="000F5510"/>
    <w:rsid w:val="000F62FB"/>
    <w:rsid w:val="000F7C29"/>
    <w:rsid w:val="00101D56"/>
    <w:rsid w:val="00102071"/>
    <w:rsid w:val="001023C5"/>
    <w:rsid w:val="00104E0A"/>
    <w:rsid w:val="001064C3"/>
    <w:rsid w:val="0010784C"/>
    <w:rsid w:val="00110A15"/>
    <w:rsid w:val="001130D7"/>
    <w:rsid w:val="00113D2C"/>
    <w:rsid w:val="001142C5"/>
    <w:rsid w:val="00115CA4"/>
    <w:rsid w:val="001216FF"/>
    <w:rsid w:val="00121B2C"/>
    <w:rsid w:val="00123529"/>
    <w:rsid w:val="00131C50"/>
    <w:rsid w:val="001354EF"/>
    <w:rsid w:val="00135650"/>
    <w:rsid w:val="001371AA"/>
    <w:rsid w:val="00141E7E"/>
    <w:rsid w:val="0014475E"/>
    <w:rsid w:val="0014644C"/>
    <w:rsid w:val="00147318"/>
    <w:rsid w:val="00151279"/>
    <w:rsid w:val="00151303"/>
    <w:rsid w:val="001527D1"/>
    <w:rsid w:val="00152F99"/>
    <w:rsid w:val="00155021"/>
    <w:rsid w:val="00155567"/>
    <w:rsid w:val="001601CE"/>
    <w:rsid w:val="001603BA"/>
    <w:rsid w:val="00160535"/>
    <w:rsid w:val="00160E66"/>
    <w:rsid w:val="0016155D"/>
    <w:rsid w:val="00164F5B"/>
    <w:rsid w:val="001660F1"/>
    <w:rsid w:val="0017166D"/>
    <w:rsid w:val="00180B1C"/>
    <w:rsid w:val="00180DD3"/>
    <w:rsid w:val="00181458"/>
    <w:rsid w:val="00183CDA"/>
    <w:rsid w:val="0018531A"/>
    <w:rsid w:val="001869C8"/>
    <w:rsid w:val="001971B7"/>
    <w:rsid w:val="00197BA7"/>
    <w:rsid w:val="001A381B"/>
    <w:rsid w:val="001A4A94"/>
    <w:rsid w:val="001A68F0"/>
    <w:rsid w:val="001B0B63"/>
    <w:rsid w:val="001B0E57"/>
    <w:rsid w:val="001C21FA"/>
    <w:rsid w:val="001C2816"/>
    <w:rsid w:val="001C74D7"/>
    <w:rsid w:val="001D13C2"/>
    <w:rsid w:val="001D19E7"/>
    <w:rsid w:val="001D4B41"/>
    <w:rsid w:val="001D4C6F"/>
    <w:rsid w:val="001E0C3A"/>
    <w:rsid w:val="001E2640"/>
    <w:rsid w:val="001E2645"/>
    <w:rsid w:val="001E3D89"/>
    <w:rsid w:val="001E5303"/>
    <w:rsid w:val="001E744C"/>
    <w:rsid w:val="001F1DB7"/>
    <w:rsid w:val="001F2A88"/>
    <w:rsid w:val="001F3353"/>
    <w:rsid w:val="001F710E"/>
    <w:rsid w:val="00200B73"/>
    <w:rsid w:val="00201593"/>
    <w:rsid w:val="0020377A"/>
    <w:rsid w:val="00203A2C"/>
    <w:rsid w:val="00203CD1"/>
    <w:rsid w:val="00204B15"/>
    <w:rsid w:val="0020644B"/>
    <w:rsid w:val="00206A6D"/>
    <w:rsid w:val="00207003"/>
    <w:rsid w:val="00211A2A"/>
    <w:rsid w:val="002125A6"/>
    <w:rsid w:val="002143F6"/>
    <w:rsid w:val="002160F3"/>
    <w:rsid w:val="00217DBB"/>
    <w:rsid w:val="00220308"/>
    <w:rsid w:val="00220A9B"/>
    <w:rsid w:val="00222BDF"/>
    <w:rsid w:val="002231A9"/>
    <w:rsid w:val="002242D4"/>
    <w:rsid w:val="00225583"/>
    <w:rsid w:val="00230FB6"/>
    <w:rsid w:val="00232E98"/>
    <w:rsid w:val="002354BF"/>
    <w:rsid w:val="00236393"/>
    <w:rsid w:val="0024205C"/>
    <w:rsid w:val="00242826"/>
    <w:rsid w:val="00245062"/>
    <w:rsid w:val="00246CF7"/>
    <w:rsid w:val="00251378"/>
    <w:rsid w:val="00256F4C"/>
    <w:rsid w:val="0026042D"/>
    <w:rsid w:val="002606EA"/>
    <w:rsid w:val="00260B2F"/>
    <w:rsid w:val="00264879"/>
    <w:rsid w:val="00270072"/>
    <w:rsid w:val="00271827"/>
    <w:rsid w:val="00275475"/>
    <w:rsid w:val="002758CC"/>
    <w:rsid w:val="00276212"/>
    <w:rsid w:val="00276304"/>
    <w:rsid w:val="0027715B"/>
    <w:rsid w:val="00280CD0"/>
    <w:rsid w:val="00284F66"/>
    <w:rsid w:val="00294505"/>
    <w:rsid w:val="0029625F"/>
    <w:rsid w:val="00296A7F"/>
    <w:rsid w:val="00296EA5"/>
    <w:rsid w:val="002A4326"/>
    <w:rsid w:val="002A43A5"/>
    <w:rsid w:val="002A644D"/>
    <w:rsid w:val="002B0EF2"/>
    <w:rsid w:val="002B323E"/>
    <w:rsid w:val="002B3EE5"/>
    <w:rsid w:val="002B417C"/>
    <w:rsid w:val="002B4C00"/>
    <w:rsid w:val="002B56D1"/>
    <w:rsid w:val="002B5FE5"/>
    <w:rsid w:val="002C1BAB"/>
    <w:rsid w:val="002C22AB"/>
    <w:rsid w:val="002C2571"/>
    <w:rsid w:val="002C38CC"/>
    <w:rsid w:val="002C5A14"/>
    <w:rsid w:val="002C6598"/>
    <w:rsid w:val="002C7938"/>
    <w:rsid w:val="002C7F71"/>
    <w:rsid w:val="002D2B74"/>
    <w:rsid w:val="002D55A4"/>
    <w:rsid w:val="002E33CD"/>
    <w:rsid w:val="002E60A3"/>
    <w:rsid w:val="002E6D0B"/>
    <w:rsid w:val="002E6D47"/>
    <w:rsid w:val="002E76C5"/>
    <w:rsid w:val="002F0217"/>
    <w:rsid w:val="002F10FB"/>
    <w:rsid w:val="002F1BA7"/>
    <w:rsid w:val="002F3291"/>
    <w:rsid w:val="002F3310"/>
    <w:rsid w:val="002F4451"/>
    <w:rsid w:val="002F6DC8"/>
    <w:rsid w:val="003011A1"/>
    <w:rsid w:val="00302C8A"/>
    <w:rsid w:val="00303654"/>
    <w:rsid w:val="003041F3"/>
    <w:rsid w:val="00304E8E"/>
    <w:rsid w:val="00307CA0"/>
    <w:rsid w:val="00312CC6"/>
    <w:rsid w:val="00322D3A"/>
    <w:rsid w:val="003241F7"/>
    <w:rsid w:val="0032578A"/>
    <w:rsid w:val="003268C6"/>
    <w:rsid w:val="0032713C"/>
    <w:rsid w:val="003307BE"/>
    <w:rsid w:val="00330B4F"/>
    <w:rsid w:val="00332392"/>
    <w:rsid w:val="0033304F"/>
    <w:rsid w:val="003338D2"/>
    <w:rsid w:val="00334773"/>
    <w:rsid w:val="00342020"/>
    <w:rsid w:val="0034223F"/>
    <w:rsid w:val="00343E27"/>
    <w:rsid w:val="003441B8"/>
    <w:rsid w:val="00346E79"/>
    <w:rsid w:val="00350AD7"/>
    <w:rsid w:val="003554BB"/>
    <w:rsid w:val="00356961"/>
    <w:rsid w:val="003632D1"/>
    <w:rsid w:val="00366AC3"/>
    <w:rsid w:val="00366D9D"/>
    <w:rsid w:val="00367B53"/>
    <w:rsid w:val="0037078A"/>
    <w:rsid w:val="003728E6"/>
    <w:rsid w:val="00372D51"/>
    <w:rsid w:val="0037386D"/>
    <w:rsid w:val="0038224C"/>
    <w:rsid w:val="00382FE5"/>
    <w:rsid w:val="00384088"/>
    <w:rsid w:val="00384F6B"/>
    <w:rsid w:val="0039071B"/>
    <w:rsid w:val="00390925"/>
    <w:rsid w:val="00391110"/>
    <w:rsid w:val="00393F23"/>
    <w:rsid w:val="00397622"/>
    <w:rsid w:val="003A1FBD"/>
    <w:rsid w:val="003A413E"/>
    <w:rsid w:val="003A4CD5"/>
    <w:rsid w:val="003A64AB"/>
    <w:rsid w:val="003B0059"/>
    <w:rsid w:val="003B32BC"/>
    <w:rsid w:val="003B5429"/>
    <w:rsid w:val="003B5606"/>
    <w:rsid w:val="003B6195"/>
    <w:rsid w:val="003C0386"/>
    <w:rsid w:val="003C0B7E"/>
    <w:rsid w:val="003C1558"/>
    <w:rsid w:val="003C5237"/>
    <w:rsid w:val="003C538E"/>
    <w:rsid w:val="003D1CDF"/>
    <w:rsid w:val="003D27AB"/>
    <w:rsid w:val="003D3839"/>
    <w:rsid w:val="003D46F0"/>
    <w:rsid w:val="003D521A"/>
    <w:rsid w:val="003E5C70"/>
    <w:rsid w:val="003E65B9"/>
    <w:rsid w:val="003E7FB9"/>
    <w:rsid w:val="003F0EC9"/>
    <w:rsid w:val="003F1E7A"/>
    <w:rsid w:val="003F4AB8"/>
    <w:rsid w:val="003F797C"/>
    <w:rsid w:val="004014E7"/>
    <w:rsid w:val="00401929"/>
    <w:rsid w:val="00402B40"/>
    <w:rsid w:val="004030A3"/>
    <w:rsid w:val="00404F01"/>
    <w:rsid w:val="0040621E"/>
    <w:rsid w:val="00415218"/>
    <w:rsid w:val="00420386"/>
    <w:rsid w:val="004206A4"/>
    <w:rsid w:val="00420701"/>
    <w:rsid w:val="0042330F"/>
    <w:rsid w:val="00423A3A"/>
    <w:rsid w:val="00425E8D"/>
    <w:rsid w:val="004308F7"/>
    <w:rsid w:val="00430ACB"/>
    <w:rsid w:val="00433005"/>
    <w:rsid w:val="00433D87"/>
    <w:rsid w:val="00434B0F"/>
    <w:rsid w:val="00442AE5"/>
    <w:rsid w:val="00444539"/>
    <w:rsid w:val="00445E08"/>
    <w:rsid w:val="0044735D"/>
    <w:rsid w:val="004518AD"/>
    <w:rsid w:val="00451A01"/>
    <w:rsid w:val="0045498C"/>
    <w:rsid w:val="0045537D"/>
    <w:rsid w:val="004566DD"/>
    <w:rsid w:val="00460E2D"/>
    <w:rsid w:val="004676F5"/>
    <w:rsid w:val="00473B7D"/>
    <w:rsid w:val="0047476A"/>
    <w:rsid w:val="00474979"/>
    <w:rsid w:val="00477760"/>
    <w:rsid w:val="00480527"/>
    <w:rsid w:val="00481CDC"/>
    <w:rsid w:val="00482E38"/>
    <w:rsid w:val="0048379D"/>
    <w:rsid w:val="00485CD8"/>
    <w:rsid w:val="00487980"/>
    <w:rsid w:val="004879FA"/>
    <w:rsid w:val="00491797"/>
    <w:rsid w:val="00491A9D"/>
    <w:rsid w:val="00492F90"/>
    <w:rsid w:val="0049305E"/>
    <w:rsid w:val="004A096E"/>
    <w:rsid w:val="004A1325"/>
    <w:rsid w:val="004A2E56"/>
    <w:rsid w:val="004B25B5"/>
    <w:rsid w:val="004B34DE"/>
    <w:rsid w:val="004C025C"/>
    <w:rsid w:val="004C1BCB"/>
    <w:rsid w:val="004C1E2F"/>
    <w:rsid w:val="004C2504"/>
    <w:rsid w:val="004C6A98"/>
    <w:rsid w:val="004C6CAC"/>
    <w:rsid w:val="004D03A9"/>
    <w:rsid w:val="004D1780"/>
    <w:rsid w:val="004D2188"/>
    <w:rsid w:val="004D2438"/>
    <w:rsid w:val="004D33AD"/>
    <w:rsid w:val="004E0671"/>
    <w:rsid w:val="004E170A"/>
    <w:rsid w:val="004E2926"/>
    <w:rsid w:val="004E4AD6"/>
    <w:rsid w:val="004E5129"/>
    <w:rsid w:val="004E51E9"/>
    <w:rsid w:val="004F075B"/>
    <w:rsid w:val="004F1920"/>
    <w:rsid w:val="004F2914"/>
    <w:rsid w:val="004F4D27"/>
    <w:rsid w:val="005006B8"/>
    <w:rsid w:val="00500B38"/>
    <w:rsid w:val="0050162F"/>
    <w:rsid w:val="00502A91"/>
    <w:rsid w:val="00503990"/>
    <w:rsid w:val="00504DC1"/>
    <w:rsid w:val="00507F39"/>
    <w:rsid w:val="00511BD1"/>
    <w:rsid w:val="0051732A"/>
    <w:rsid w:val="00517A65"/>
    <w:rsid w:val="00523985"/>
    <w:rsid w:val="00524AC7"/>
    <w:rsid w:val="00530700"/>
    <w:rsid w:val="00531365"/>
    <w:rsid w:val="00534713"/>
    <w:rsid w:val="00535F5D"/>
    <w:rsid w:val="005419E7"/>
    <w:rsid w:val="00541AF2"/>
    <w:rsid w:val="00541BF9"/>
    <w:rsid w:val="00543707"/>
    <w:rsid w:val="00543A97"/>
    <w:rsid w:val="005458A7"/>
    <w:rsid w:val="00545C4E"/>
    <w:rsid w:val="00562319"/>
    <w:rsid w:val="00563EA4"/>
    <w:rsid w:val="00563F38"/>
    <w:rsid w:val="00565CA5"/>
    <w:rsid w:val="0056725A"/>
    <w:rsid w:val="0057015D"/>
    <w:rsid w:val="005779B8"/>
    <w:rsid w:val="005825B9"/>
    <w:rsid w:val="00591CDD"/>
    <w:rsid w:val="005922CF"/>
    <w:rsid w:val="00592AFE"/>
    <w:rsid w:val="005953F6"/>
    <w:rsid w:val="0059556D"/>
    <w:rsid w:val="00596DEA"/>
    <w:rsid w:val="005971FF"/>
    <w:rsid w:val="005A11C8"/>
    <w:rsid w:val="005A242E"/>
    <w:rsid w:val="005A3A19"/>
    <w:rsid w:val="005A42FB"/>
    <w:rsid w:val="005B05D0"/>
    <w:rsid w:val="005B08E6"/>
    <w:rsid w:val="005B134A"/>
    <w:rsid w:val="005B19D1"/>
    <w:rsid w:val="005B424A"/>
    <w:rsid w:val="005B6CFD"/>
    <w:rsid w:val="005C0B35"/>
    <w:rsid w:val="005C2DE1"/>
    <w:rsid w:val="005D3258"/>
    <w:rsid w:val="005D4063"/>
    <w:rsid w:val="005D6B9A"/>
    <w:rsid w:val="005E4DB9"/>
    <w:rsid w:val="005E7CDE"/>
    <w:rsid w:val="005F10B8"/>
    <w:rsid w:val="005F439B"/>
    <w:rsid w:val="005F5A99"/>
    <w:rsid w:val="005F5F5E"/>
    <w:rsid w:val="005F6DDF"/>
    <w:rsid w:val="00603180"/>
    <w:rsid w:val="00604DE7"/>
    <w:rsid w:val="00610FE4"/>
    <w:rsid w:val="00613549"/>
    <w:rsid w:val="006215F2"/>
    <w:rsid w:val="006218E9"/>
    <w:rsid w:val="006224A8"/>
    <w:rsid w:val="0062367B"/>
    <w:rsid w:val="00625DFB"/>
    <w:rsid w:val="00631DB6"/>
    <w:rsid w:val="00632936"/>
    <w:rsid w:val="00634AEE"/>
    <w:rsid w:val="00635C5F"/>
    <w:rsid w:val="00641C7B"/>
    <w:rsid w:val="00642022"/>
    <w:rsid w:val="00642961"/>
    <w:rsid w:val="0064371E"/>
    <w:rsid w:val="0064399F"/>
    <w:rsid w:val="00655716"/>
    <w:rsid w:val="00655B75"/>
    <w:rsid w:val="006564AF"/>
    <w:rsid w:val="006651B5"/>
    <w:rsid w:val="00665E27"/>
    <w:rsid w:val="006720BA"/>
    <w:rsid w:val="00675327"/>
    <w:rsid w:val="00675A43"/>
    <w:rsid w:val="00675E0C"/>
    <w:rsid w:val="006779E3"/>
    <w:rsid w:val="006801FE"/>
    <w:rsid w:val="00680393"/>
    <w:rsid w:val="0068446B"/>
    <w:rsid w:val="0069225F"/>
    <w:rsid w:val="0069502F"/>
    <w:rsid w:val="0069638F"/>
    <w:rsid w:val="006A0A33"/>
    <w:rsid w:val="006A223A"/>
    <w:rsid w:val="006A4B23"/>
    <w:rsid w:val="006A69E0"/>
    <w:rsid w:val="006B0C59"/>
    <w:rsid w:val="006B5218"/>
    <w:rsid w:val="006B744F"/>
    <w:rsid w:val="006C2FBF"/>
    <w:rsid w:val="006C3903"/>
    <w:rsid w:val="006C7DB6"/>
    <w:rsid w:val="006D1F54"/>
    <w:rsid w:val="006D7D4F"/>
    <w:rsid w:val="006E03D3"/>
    <w:rsid w:val="006E34CD"/>
    <w:rsid w:val="006E6065"/>
    <w:rsid w:val="006F0970"/>
    <w:rsid w:val="006F35D5"/>
    <w:rsid w:val="006F3A29"/>
    <w:rsid w:val="006F3AB1"/>
    <w:rsid w:val="006F72A7"/>
    <w:rsid w:val="0070128F"/>
    <w:rsid w:val="00701ED5"/>
    <w:rsid w:val="0071123D"/>
    <w:rsid w:val="007112CC"/>
    <w:rsid w:val="00713D7D"/>
    <w:rsid w:val="0072177D"/>
    <w:rsid w:val="00721C1C"/>
    <w:rsid w:val="007257BF"/>
    <w:rsid w:val="007269B0"/>
    <w:rsid w:val="00734442"/>
    <w:rsid w:val="007346E1"/>
    <w:rsid w:val="0073622B"/>
    <w:rsid w:val="00737109"/>
    <w:rsid w:val="00737166"/>
    <w:rsid w:val="007376F3"/>
    <w:rsid w:val="00742C56"/>
    <w:rsid w:val="007439DB"/>
    <w:rsid w:val="00751FB4"/>
    <w:rsid w:val="00754D1C"/>
    <w:rsid w:val="00755408"/>
    <w:rsid w:val="00755B84"/>
    <w:rsid w:val="00757745"/>
    <w:rsid w:val="007603C3"/>
    <w:rsid w:val="00760480"/>
    <w:rsid w:val="00761E76"/>
    <w:rsid w:val="007665DE"/>
    <w:rsid w:val="00771C2E"/>
    <w:rsid w:val="0077478C"/>
    <w:rsid w:val="00776AED"/>
    <w:rsid w:val="00777C68"/>
    <w:rsid w:val="00792845"/>
    <w:rsid w:val="00796345"/>
    <w:rsid w:val="007A0660"/>
    <w:rsid w:val="007A294F"/>
    <w:rsid w:val="007A2D00"/>
    <w:rsid w:val="007A2FB5"/>
    <w:rsid w:val="007A356D"/>
    <w:rsid w:val="007A4535"/>
    <w:rsid w:val="007A5904"/>
    <w:rsid w:val="007B2066"/>
    <w:rsid w:val="007B4C8C"/>
    <w:rsid w:val="007B5E83"/>
    <w:rsid w:val="007B669A"/>
    <w:rsid w:val="007B6754"/>
    <w:rsid w:val="007B6F3F"/>
    <w:rsid w:val="007B7A36"/>
    <w:rsid w:val="007C06F6"/>
    <w:rsid w:val="007C19F4"/>
    <w:rsid w:val="007C1B3C"/>
    <w:rsid w:val="007C4A98"/>
    <w:rsid w:val="007D1260"/>
    <w:rsid w:val="007D63DF"/>
    <w:rsid w:val="007D6421"/>
    <w:rsid w:val="007E1415"/>
    <w:rsid w:val="007E1B2B"/>
    <w:rsid w:val="007E22E0"/>
    <w:rsid w:val="007F09DA"/>
    <w:rsid w:val="007F1434"/>
    <w:rsid w:val="007F2797"/>
    <w:rsid w:val="007F32E2"/>
    <w:rsid w:val="00801763"/>
    <w:rsid w:val="00801DE6"/>
    <w:rsid w:val="0080263F"/>
    <w:rsid w:val="008040EA"/>
    <w:rsid w:val="00804C95"/>
    <w:rsid w:val="00805316"/>
    <w:rsid w:val="00806393"/>
    <w:rsid w:val="00807916"/>
    <w:rsid w:val="008113BB"/>
    <w:rsid w:val="008138AF"/>
    <w:rsid w:val="00821AFD"/>
    <w:rsid w:val="0082240A"/>
    <w:rsid w:val="00822B66"/>
    <w:rsid w:val="00822C48"/>
    <w:rsid w:val="00824EA3"/>
    <w:rsid w:val="00830A1B"/>
    <w:rsid w:val="00836838"/>
    <w:rsid w:val="008373C3"/>
    <w:rsid w:val="008450B0"/>
    <w:rsid w:val="00845C6A"/>
    <w:rsid w:val="00846E66"/>
    <w:rsid w:val="00847D9E"/>
    <w:rsid w:val="008511AE"/>
    <w:rsid w:val="00852E7F"/>
    <w:rsid w:val="00856F17"/>
    <w:rsid w:val="008650E9"/>
    <w:rsid w:val="00875BB9"/>
    <w:rsid w:val="00877E94"/>
    <w:rsid w:val="00881849"/>
    <w:rsid w:val="0088237A"/>
    <w:rsid w:val="0088239F"/>
    <w:rsid w:val="00882C0B"/>
    <w:rsid w:val="00885B9D"/>
    <w:rsid w:val="00890580"/>
    <w:rsid w:val="00891FB4"/>
    <w:rsid w:val="008928AE"/>
    <w:rsid w:val="00892A23"/>
    <w:rsid w:val="008945E4"/>
    <w:rsid w:val="00894FB3"/>
    <w:rsid w:val="008A3D72"/>
    <w:rsid w:val="008A6F87"/>
    <w:rsid w:val="008B0494"/>
    <w:rsid w:val="008B0C11"/>
    <w:rsid w:val="008B2638"/>
    <w:rsid w:val="008B5775"/>
    <w:rsid w:val="008C43D6"/>
    <w:rsid w:val="008C4C83"/>
    <w:rsid w:val="008C6472"/>
    <w:rsid w:val="008C7C2D"/>
    <w:rsid w:val="008D07EE"/>
    <w:rsid w:val="008D142F"/>
    <w:rsid w:val="008D162B"/>
    <w:rsid w:val="008D192E"/>
    <w:rsid w:val="008D33B7"/>
    <w:rsid w:val="008D3E19"/>
    <w:rsid w:val="008D4F82"/>
    <w:rsid w:val="008D5162"/>
    <w:rsid w:val="008D527D"/>
    <w:rsid w:val="008D60ED"/>
    <w:rsid w:val="008D7491"/>
    <w:rsid w:val="008E20BB"/>
    <w:rsid w:val="008E23A5"/>
    <w:rsid w:val="008E48A3"/>
    <w:rsid w:val="008F011F"/>
    <w:rsid w:val="008F0253"/>
    <w:rsid w:val="008F02FA"/>
    <w:rsid w:val="008F05F4"/>
    <w:rsid w:val="008F16EF"/>
    <w:rsid w:val="008F5ACD"/>
    <w:rsid w:val="008F5F5F"/>
    <w:rsid w:val="008F770D"/>
    <w:rsid w:val="0090048C"/>
    <w:rsid w:val="00900D1A"/>
    <w:rsid w:val="00901394"/>
    <w:rsid w:val="00901421"/>
    <w:rsid w:val="00902DA3"/>
    <w:rsid w:val="009060B8"/>
    <w:rsid w:val="00907F90"/>
    <w:rsid w:val="00910B93"/>
    <w:rsid w:val="00910BFF"/>
    <w:rsid w:val="0091313B"/>
    <w:rsid w:val="00913D0F"/>
    <w:rsid w:val="009153CE"/>
    <w:rsid w:val="009247CF"/>
    <w:rsid w:val="0092598E"/>
    <w:rsid w:val="009278E2"/>
    <w:rsid w:val="00931BC2"/>
    <w:rsid w:val="009324DF"/>
    <w:rsid w:val="00933E1E"/>
    <w:rsid w:val="00934C9B"/>
    <w:rsid w:val="00936DAC"/>
    <w:rsid w:val="00945023"/>
    <w:rsid w:val="00945E53"/>
    <w:rsid w:val="00950732"/>
    <w:rsid w:val="00951C98"/>
    <w:rsid w:val="00953E37"/>
    <w:rsid w:val="009571FA"/>
    <w:rsid w:val="0096080A"/>
    <w:rsid w:val="00962403"/>
    <w:rsid w:val="00963203"/>
    <w:rsid w:val="00963575"/>
    <w:rsid w:val="0096385C"/>
    <w:rsid w:val="009663A9"/>
    <w:rsid w:val="00966DAE"/>
    <w:rsid w:val="009674A1"/>
    <w:rsid w:val="00976281"/>
    <w:rsid w:val="00980444"/>
    <w:rsid w:val="009833E9"/>
    <w:rsid w:val="0098354C"/>
    <w:rsid w:val="009846EB"/>
    <w:rsid w:val="00986B33"/>
    <w:rsid w:val="00987AD5"/>
    <w:rsid w:val="009919AC"/>
    <w:rsid w:val="009950AA"/>
    <w:rsid w:val="00997493"/>
    <w:rsid w:val="00997CCA"/>
    <w:rsid w:val="009A6505"/>
    <w:rsid w:val="009A7766"/>
    <w:rsid w:val="009A7792"/>
    <w:rsid w:val="009B1DEC"/>
    <w:rsid w:val="009B5515"/>
    <w:rsid w:val="009B70EF"/>
    <w:rsid w:val="009B7138"/>
    <w:rsid w:val="009B7769"/>
    <w:rsid w:val="009C2978"/>
    <w:rsid w:val="009C7DD7"/>
    <w:rsid w:val="009D0EBE"/>
    <w:rsid w:val="009E054F"/>
    <w:rsid w:val="009E52FC"/>
    <w:rsid w:val="009E65F7"/>
    <w:rsid w:val="009E7296"/>
    <w:rsid w:val="009E782C"/>
    <w:rsid w:val="009F3C3D"/>
    <w:rsid w:val="009F70D7"/>
    <w:rsid w:val="00A01234"/>
    <w:rsid w:val="00A02206"/>
    <w:rsid w:val="00A03306"/>
    <w:rsid w:val="00A04EFD"/>
    <w:rsid w:val="00A05418"/>
    <w:rsid w:val="00A05464"/>
    <w:rsid w:val="00A05A16"/>
    <w:rsid w:val="00A0605B"/>
    <w:rsid w:val="00A12465"/>
    <w:rsid w:val="00A13B57"/>
    <w:rsid w:val="00A141E1"/>
    <w:rsid w:val="00A2153B"/>
    <w:rsid w:val="00A25F45"/>
    <w:rsid w:val="00A34B94"/>
    <w:rsid w:val="00A3704C"/>
    <w:rsid w:val="00A40B0D"/>
    <w:rsid w:val="00A411E0"/>
    <w:rsid w:val="00A411F8"/>
    <w:rsid w:val="00A41F15"/>
    <w:rsid w:val="00A442C1"/>
    <w:rsid w:val="00A51B0B"/>
    <w:rsid w:val="00A52D26"/>
    <w:rsid w:val="00A5391D"/>
    <w:rsid w:val="00A53D02"/>
    <w:rsid w:val="00A540F8"/>
    <w:rsid w:val="00A566DA"/>
    <w:rsid w:val="00A57B42"/>
    <w:rsid w:val="00A616BB"/>
    <w:rsid w:val="00A66324"/>
    <w:rsid w:val="00A664A2"/>
    <w:rsid w:val="00A66A07"/>
    <w:rsid w:val="00A70BEA"/>
    <w:rsid w:val="00A72B29"/>
    <w:rsid w:val="00A73027"/>
    <w:rsid w:val="00A74344"/>
    <w:rsid w:val="00A7666C"/>
    <w:rsid w:val="00A81585"/>
    <w:rsid w:val="00A83F91"/>
    <w:rsid w:val="00A8414D"/>
    <w:rsid w:val="00A8541B"/>
    <w:rsid w:val="00A86DF9"/>
    <w:rsid w:val="00A87500"/>
    <w:rsid w:val="00A97333"/>
    <w:rsid w:val="00AA13D0"/>
    <w:rsid w:val="00AA2D5A"/>
    <w:rsid w:val="00AB320E"/>
    <w:rsid w:val="00AB34B3"/>
    <w:rsid w:val="00AB5354"/>
    <w:rsid w:val="00AB5DB4"/>
    <w:rsid w:val="00AB7B97"/>
    <w:rsid w:val="00AC185B"/>
    <w:rsid w:val="00AC2E1B"/>
    <w:rsid w:val="00AC320E"/>
    <w:rsid w:val="00AC3D1F"/>
    <w:rsid w:val="00AC417F"/>
    <w:rsid w:val="00AC419A"/>
    <w:rsid w:val="00AC4A96"/>
    <w:rsid w:val="00AC5D52"/>
    <w:rsid w:val="00AC69F8"/>
    <w:rsid w:val="00AD06EF"/>
    <w:rsid w:val="00AD0C25"/>
    <w:rsid w:val="00AD1226"/>
    <w:rsid w:val="00AD1C75"/>
    <w:rsid w:val="00AD379B"/>
    <w:rsid w:val="00AD4247"/>
    <w:rsid w:val="00AD651C"/>
    <w:rsid w:val="00AD696B"/>
    <w:rsid w:val="00AE14EA"/>
    <w:rsid w:val="00AE2E74"/>
    <w:rsid w:val="00AE4A2E"/>
    <w:rsid w:val="00AE7118"/>
    <w:rsid w:val="00AE772B"/>
    <w:rsid w:val="00AF1123"/>
    <w:rsid w:val="00AF1269"/>
    <w:rsid w:val="00AF2D6D"/>
    <w:rsid w:val="00AF2DC9"/>
    <w:rsid w:val="00AF32DF"/>
    <w:rsid w:val="00AF5CBC"/>
    <w:rsid w:val="00B039D7"/>
    <w:rsid w:val="00B059F7"/>
    <w:rsid w:val="00B06F77"/>
    <w:rsid w:val="00B10718"/>
    <w:rsid w:val="00B12B90"/>
    <w:rsid w:val="00B14FD7"/>
    <w:rsid w:val="00B17A7F"/>
    <w:rsid w:val="00B21524"/>
    <w:rsid w:val="00B21ABD"/>
    <w:rsid w:val="00B24B5F"/>
    <w:rsid w:val="00B301A7"/>
    <w:rsid w:val="00B31AA4"/>
    <w:rsid w:val="00B325F8"/>
    <w:rsid w:val="00B3417F"/>
    <w:rsid w:val="00B34BA7"/>
    <w:rsid w:val="00B34F82"/>
    <w:rsid w:val="00B36D9C"/>
    <w:rsid w:val="00B401F3"/>
    <w:rsid w:val="00B42694"/>
    <w:rsid w:val="00B44140"/>
    <w:rsid w:val="00B4525C"/>
    <w:rsid w:val="00B45303"/>
    <w:rsid w:val="00B5063E"/>
    <w:rsid w:val="00B5418E"/>
    <w:rsid w:val="00B55396"/>
    <w:rsid w:val="00B566BC"/>
    <w:rsid w:val="00B56F21"/>
    <w:rsid w:val="00B619A0"/>
    <w:rsid w:val="00B6552B"/>
    <w:rsid w:val="00B66469"/>
    <w:rsid w:val="00B6779E"/>
    <w:rsid w:val="00B702C8"/>
    <w:rsid w:val="00B70A29"/>
    <w:rsid w:val="00B73375"/>
    <w:rsid w:val="00B7557E"/>
    <w:rsid w:val="00B75E0B"/>
    <w:rsid w:val="00B803FB"/>
    <w:rsid w:val="00B8371E"/>
    <w:rsid w:val="00B837A8"/>
    <w:rsid w:val="00B94582"/>
    <w:rsid w:val="00B95915"/>
    <w:rsid w:val="00B96FF1"/>
    <w:rsid w:val="00BA0340"/>
    <w:rsid w:val="00BA09CA"/>
    <w:rsid w:val="00BA0C60"/>
    <w:rsid w:val="00BA1519"/>
    <w:rsid w:val="00BA63BF"/>
    <w:rsid w:val="00BB061B"/>
    <w:rsid w:val="00BB1114"/>
    <w:rsid w:val="00BB462E"/>
    <w:rsid w:val="00BB497B"/>
    <w:rsid w:val="00BB5573"/>
    <w:rsid w:val="00BB573A"/>
    <w:rsid w:val="00BB70F6"/>
    <w:rsid w:val="00BC7656"/>
    <w:rsid w:val="00BD0EEB"/>
    <w:rsid w:val="00BD1399"/>
    <w:rsid w:val="00BD37BE"/>
    <w:rsid w:val="00BD537A"/>
    <w:rsid w:val="00BD6B8F"/>
    <w:rsid w:val="00BD6DF3"/>
    <w:rsid w:val="00BE246D"/>
    <w:rsid w:val="00BE2B5D"/>
    <w:rsid w:val="00BE30EC"/>
    <w:rsid w:val="00BE658F"/>
    <w:rsid w:val="00BE75BF"/>
    <w:rsid w:val="00BF17AA"/>
    <w:rsid w:val="00BF181B"/>
    <w:rsid w:val="00BF2DA0"/>
    <w:rsid w:val="00BF4477"/>
    <w:rsid w:val="00BF512E"/>
    <w:rsid w:val="00BF6917"/>
    <w:rsid w:val="00BF69A3"/>
    <w:rsid w:val="00BF75C8"/>
    <w:rsid w:val="00BF7FE6"/>
    <w:rsid w:val="00C0003C"/>
    <w:rsid w:val="00C005DC"/>
    <w:rsid w:val="00C0119B"/>
    <w:rsid w:val="00C10839"/>
    <w:rsid w:val="00C137CE"/>
    <w:rsid w:val="00C16228"/>
    <w:rsid w:val="00C17273"/>
    <w:rsid w:val="00C17CB7"/>
    <w:rsid w:val="00C17E2D"/>
    <w:rsid w:val="00C2209A"/>
    <w:rsid w:val="00C24556"/>
    <w:rsid w:val="00C26BDE"/>
    <w:rsid w:val="00C27C9C"/>
    <w:rsid w:val="00C36FFB"/>
    <w:rsid w:val="00C37522"/>
    <w:rsid w:val="00C42F7F"/>
    <w:rsid w:val="00C43EA7"/>
    <w:rsid w:val="00C463EE"/>
    <w:rsid w:val="00C47415"/>
    <w:rsid w:val="00C50A75"/>
    <w:rsid w:val="00C51C83"/>
    <w:rsid w:val="00C530E7"/>
    <w:rsid w:val="00C54BBE"/>
    <w:rsid w:val="00C56501"/>
    <w:rsid w:val="00C57E06"/>
    <w:rsid w:val="00C57EBD"/>
    <w:rsid w:val="00C64160"/>
    <w:rsid w:val="00C66845"/>
    <w:rsid w:val="00C67583"/>
    <w:rsid w:val="00C7147A"/>
    <w:rsid w:val="00C8230F"/>
    <w:rsid w:val="00C85671"/>
    <w:rsid w:val="00C85ACA"/>
    <w:rsid w:val="00C87873"/>
    <w:rsid w:val="00C87F51"/>
    <w:rsid w:val="00C95519"/>
    <w:rsid w:val="00C95F2E"/>
    <w:rsid w:val="00CA10E8"/>
    <w:rsid w:val="00CA1BAD"/>
    <w:rsid w:val="00CA2482"/>
    <w:rsid w:val="00CA251F"/>
    <w:rsid w:val="00CA5A0A"/>
    <w:rsid w:val="00CA601A"/>
    <w:rsid w:val="00CA6E28"/>
    <w:rsid w:val="00CB07AA"/>
    <w:rsid w:val="00CB53DC"/>
    <w:rsid w:val="00CC10DE"/>
    <w:rsid w:val="00CC3A93"/>
    <w:rsid w:val="00CC4499"/>
    <w:rsid w:val="00CC4F1D"/>
    <w:rsid w:val="00CC5551"/>
    <w:rsid w:val="00CD006B"/>
    <w:rsid w:val="00CD4453"/>
    <w:rsid w:val="00CD4ACD"/>
    <w:rsid w:val="00CD5A83"/>
    <w:rsid w:val="00CD664B"/>
    <w:rsid w:val="00CD7DD8"/>
    <w:rsid w:val="00CE13BA"/>
    <w:rsid w:val="00CE30D8"/>
    <w:rsid w:val="00CE44B5"/>
    <w:rsid w:val="00CF47CB"/>
    <w:rsid w:val="00CF5EA9"/>
    <w:rsid w:val="00CF79F1"/>
    <w:rsid w:val="00D00D17"/>
    <w:rsid w:val="00D0723D"/>
    <w:rsid w:val="00D116AD"/>
    <w:rsid w:val="00D13454"/>
    <w:rsid w:val="00D136BE"/>
    <w:rsid w:val="00D151AF"/>
    <w:rsid w:val="00D17D60"/>
    <w:rsid w:val="00D24FE3"/>
    <w:rsid w:val="00D31EA2"/>
    <w:rsid w:val="00D31F16"/>
    <w:rsid w:val="00D32224"/>
    <w:rsid w:val="00D439F5"/>
    <w:rsid w:val="00D46D82"/>
    <w:rsid w:val="00D47BA3"/>
    <w:rsid w:val="00D55D17"/>
    <w:rsid w:val="00D624C0"/>
    <w:rsid w:val="00D70BA2"/>
    <w:rsid w:val="00D83F89"/>
    <w:rsid w:val="00D87EE6"/>
    <w:rsid w:val="00D93806"/>
    <w:rsid w:val="00D94544"/>
    <w:rsid w:val="00D9543D"/>
    <w:rsid w:val="00DA2975"/>
    <w:rsid w:val="00DA7DFC"/>
    <w:rsid w:val="00DA7F45"/>
    <w:rsid w:val="00DB1C0F"/>
    <w:rsid w:val="00DB212F"/>
    <w:rsid w:val="00DB4440"/>
    <w:rsid w:val="00DB596D"/>
    <w:rsid w:val="00DB6CD1"/>
    <w:rsid w:val="00DB7A0C"/>
    <w:rsid w:val="00DC09C7"/>
    <w:rsid w:val="00DC5B0F"/>
    <w:rsid w:val="00DC6904"/>
    <w:rsid w:val="00DD136C"/>
    <w:rsid w:val="00DD1A08"/>
    <w:rsid w:val="00DD2784"/>
    <w:rsid w:val="00DD6FD1"/>
    <w:rsid w:val="00DD7C48"/>
    <w:rsid w:val="00DE06B1"/>
    <w:rsid w:val="00DE3A48"/>
    <w:rsid w:val="00DE5FF8"/>
    <w:rsid w:val="00DE7666"/>
    <w:rsid w:val="00DF341C"/>
    <w:rsid w:val="00E0142A"/>
    <w:rsid w:val="00E0151A"/>
    <w:rsid w:val="00E01660"/>
    <w:rsid w:val="00E0375C"/>
    <w:rsid w:val="00E05898"/>
    <w:rsid w:val="00E14964"/>
    <w:rsid w:val="00E15E34"/>
    <w:rsid w:val="00E244D0"/>
    <w:rsid w:val="00E3059C"/>
    <w:rsid w:val="00E4350E"/>
    <w:rsid w:val="00E43787"/>
    <w:rsid w:val="00E43C2F"/>
    <w:rsid w:val="00E4423B"/>
    <w:rsid w:val="00E50450"/>
    <w:rsid w:val="00E506C7"/>
    <w:rsid w:val="00E5600A"/>
    <w:rsid w:val="00E6363A"/>
    <w:rsid w:val="00E63BE1"/>
    <w:rsid w:val="00E63BE6"/>
    <w:rsid w:val="00E6522D"/>
    <w:rsid w:val="00E66260"/>
    <w:rsid w:val="00E677A8"/>
    <w:rsid w:val="00E67B22"/>
    <w:rsid w:val="00E67CFD"/>
    <w:rsid w:val="00E7010E"/>
    <w:rsid w:val="00E71DEE"/>
    <w:rsid w:val="00E71EE3"/>
    <w:rsid w:val="00E75123"/>
    <w:rsid w:val="00E8267A"/>
    <w:rsid w:val="00E834DF"/>
    <w:rsid w:val="00E845BA"/>
    <w:rsid w:val="00E867FC"/>
    <w:rsid w:val="00E86BDC"/>
    <w:rsid w:val="00E94B7E"/>
    <w:rsid w:val="00E95E6F"/>
    <w:rsid w:val="00E978DC"/>
    <w:rsid w:val="00EA0534"/>
    <w:rsid w:val="00EA0B43"/>
    <w:rsid w:val="00EA3237"/>
    <w:rsid w:val="00EA4AC4"/>
    <w:rsid w:val="00EB112E"/>
    <w:rsid w:val="00EB1A5A"/>
    <w:rsid w:val="00EB2108"/>
    <w:rsid w:val="00EB2204"/>
    <w:rsid w:val="00EB502C"/>
    <w:rsid w:val="00EB51C0"/>
    <w:rsid w:val="00EB53B4"/>
    <w:rsid w:val="00EB6EAE"/>
    <w:rsid w:val="00EB74E0"/>
    <w:rsid w:val="00EC4D16"/>
    <w:rsid w:val="00ED45B2"/>
    <w:rsid w:val="00ED4E80"/>
    <w:rsid w:val="00ED789C"/>
    <w:rsid w:val="00EE6469"/>
    <w:rsid w:val="00EF05D1"/>
    <w:rsid w:val="00F05C02"/>
    <w:rsid w:val="00F071ED"/>
    <w:rsid w:val="00F11723"/>
    <w:rsid w:val="00F13C77"/>
    <w:rsid w:val="00F20062"/>
    <w:rsid w:val="00F209B5"/>
    <w:rsid w:val="00F21941"/>
    <w:rsid w:val="00F21BBF"/>
    <w:rsid w:val="00F25F9E"/>
    <w:rsid w:val="00F301FE"/>
    <w:rsid w:val="00F32A04"/>
    <w:rsid w:val="00F3356A"/>
    <w:rsid w:val="00F336EE"/>
    <w:rsid w:val="00F34BC0"/>
    <w:rsid w:val="00F3669C"/>
    <w:rsid w:val="00F3737E"/>
    <w:rsid w:val="00F3788B"/>
    <w:rsid w:val="00F444CA"/>
    <w:rsid w:val="00F45754"/>
    <w:rsid w:val="00F45D50"/>
    <w:rsid w:val="00F478F1"/>
    <w:rsid w:val="00F502E6"/>
    <w:rsid w:val="00F507EE"/>
    <w:rsid w:val="00F5327B"/>
    <w:rsid w:val="00F600A4"/>
    <w:rsid w:val="00F62F3C"/>
    <w:rsid w:val="00F650B0"/>
    <w:rsid w:val="00F71296"/>
    <w:rsid w:val="00F71BA4"/>
    <w:rsid w:val="00F721A8"/>
    <w:rsid w:val="00F74914"/>
    <w:rsid w:val="00F75043"/>
    <w:rsid w:val="00F771AA"/>
    <w:rsid w:val="00F77420"/>
    <w:rsid w:val="00F81FE1"/>
    <w:rsid w:val="00F90CD6"/>
    <w:rsid w:val="00F9287D"/>
    <w:rsid w:val="00F93E25"/>
    <w:rsid w:val="00F96380"/>
    <w:rsid w:val="00F97B68"/>
    <w:rsid w:val="00FA296F"/>
    <w:rsid w:val="00FA2AF8"/>
    <w:rsid w:val="00FB0CB4"/>
    <w:rsid w:val="00FB10EA"/>
    <w:rsid w:val="00FB6B9F"/>
    <w:rsid w:val="00FC067E"/>
    <w:rsid w:val="00FC3D8D"/>
    <w:rsid w:val="00FC73FA"/>
    <w:rsid w:val="00FC744F"/>
    <w:rsid w:val="00FD399E"/>
    <w:rsid w:val="00FD51EB"/>
    <w:rsid w:val="00FD5A2B"/>
    <w:rsid w:val="00FD5B9B"/>
    <w:rsid w:val="00FD61DA"/>
    <w:rsid w:val="00FD68AA"/>
    <w:rsid w:val="00FE14B7"/>
    <w:rsid w:val="00FE1C41"/>
    <w:rsid w:val="00FE3723"/>
    <w:rsid w:val="00FF1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4A399D5C"/>
  <w15:docId w15:val="{F4E41053-16D0-4923-B6B0-7390AF73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9B7138"/>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9B7138"/>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9B7138"/>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rsid w:val="009B7138"/>
    <w:pPr>
      <w:keepNext/>
      <w:numPr>
        <w:ilvl w:val="3"/>
        <w:numId w:val="21"/>
      </w:numPr>
      <w:outlineLvl w:val="3"/>
    </w:pPr>
    <w:rPr>
      <w:rFonts w:eastAsiaTheme="majorEastAsia"/>
      <w:bCs/>
      <w:iCs/>
    </w:rPr>
  </w:style>
  <w:style w:type="paragraph" w:styleId="Heading5">
    <w:name w:val="heading 5"/>
    <w:basedOn w:val="Normal"/>
    <w:next w:val="Text2"/>
    <w:link w:val="Heading5Char"/>
    <w:uiPriority w:val="9"/>
    <w:semiHidden/>
    <w:unhideWhenUsed/>
    <w:qFormat/>
    <w:rsid w:val="00031C51"/>
    <w:pPr>
      <w:keepNext/>
      <w:numPr>
        <w:ilvl w:val="4"/>
        <w:numId w:val="12"/>
      </w:numPr>
      <w:outlineLvl w:val="4"/>
    </w:pPr>
    <w:rPr>
      <w:rFonts w:eastAsiaTheme="majorEastAsia"/>
    </w:rPr>
  </w:style>
  <w:style w:type="paragraph" w:styleId="Heading6">
    <w:name w:val="heading 6"/>
    <w:basedOn w:val="Normal"/>
    <w:next w:val="Text2"/>
    <w:link w:val="Heading6Char"/>
    <w:uiPriority w:val="9"/>
    <w:semiHidden/>
    <w:unhideWhenUsed/>
    <w:qFormat/>
    <w:rsid w:val="00031C51"/>
    <w:pPr>
      <w:keepNext/>
      <w:numPr>
        <w:ilvl w:val="5"/>
        <w:numId w:val="12"/>
      </w:numPr>
      <w:outlineLvl w:val="5"/>
    </w:pPr>
    <w:rPr>
      <w:rFonts w:eastAsiaTheme="majorEastAsia"/>
      <w:iCs/>
    </w:rPr>
  </w:style>
  <w:style w:type="paragraph" w:styleId="Heading7">
    <w:name w:val="heading 7"/>
    <w:basedOn w:val="Normal"/>
    <w:next w:val="Text2"/>
    <w:link w:val="Heading7Char"/>
    <w:uiPriority w:val="9"/>
    <w:semiHidden/>
    <w:unhideWhenUsed/>
    <w:qFormat/>
    <w:rsid w:val="00031C51"/>
    <w:pPr>
      <w:keepNext/>
      <w:numPr>
        <w:ilvl w:val="6"/>
        <w:numId w:val="12"/>
      </w:numPr>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94544"/>
    <w:pPr>
      <w:numPr>
        <w:numId w:val="1"/>
      </w:numPr>
    </w:pPr>
    <w:rPr>
      <w:rFonts w:eastAsia="Times New Roman"/>
      <w:lang w:eastAsia="en-GB"/>
    </w:rPr>
  </w:style>
  <w:style w:type="paragraph" w:styleId="ListNumber4">
    <w:name w:val="List Number 4"/>
    <w:basedOn w:val="Normal"/>
    <w:rsid w:val="00D94544"/>
    <w:pPr>
      <w:numPr>
        <w:numId w:val="2"/>
      </w:numPr>
    </w:pPr>
    <w:rPr>
      <w:rFonts w:eastAsia="Times New Roman"/>
      <w:lang w:eastAsia="en-GB"/>
    </w:rPr>
  </w:style>
  <w:style w:type="character" w:styleId="Hyperlink">
    <w:name w:val="Hyperlink"/>
    <w:rsid w:val="00D94544"/>
    <w:rPr>
      <w:color w:val="0000FF"/>
      <w:u w:val="single"/>
      <w:shd w:val="clear" w:color="auto" w:fill="auto"/>
    </w:rPr>
  </w:style>
  <w:style w:type="paragraph" w:styleId="ListBullet">
    <w:name w:val="List Bullet"/>
    <w:basedOn w:val="Normal"/>
    <w:uiPriority w:val="99"/>
    <w:semiHidden/>
    <w:unhideWhenUsed/>
    <w:rsid w:val="00A66A07"/>
    <w:pPr>
      <w:numPr>
        <w:numId w:val="3"/>
      </w:numPr>
      <w:contextualSpacing/>
    </w:pPr>
  </w:style>
  <w:style w:type="paragraph" w:styleId="ListBullet2">
    <w:name w:val="List Bullet 2"/>
    <w:basedOn w:val="Normal"/>
    <w:uiPriority w:val="99"/>
    <w:semiHidden/>
    <w:unhideWhenUsed/>
    <w:rsid w:val="00A66A07"/>
    <w:pPr>
      <w:numPr>
        <w:numId w:val="4"/>
      </w:numPr>
      <w:contextualSpacing/>
    </w:pPr>
  </w:style>
  <w:style w:type="paragraph" w:styleId="ListBullet3">
    <w:name w:val="List Bullet 3"/>
    <w:basedOn w:val="Normal"/>
    <w:uiPriority w:val="99"/>
    <w:semiHidden/>
    <w:unhideWhenUsed/>
    <w:rsid w:val="00A66A07"/>
    <w:pPr>
      <w:numPr>
        <w:numId w:val="5"/>
      </w:numPr>
      <w:contextualSpacing/>
    </w:pPr>
  </w:style>
  <w:style w:type="paragraph" w:styleId="ListBullet4">
    <w:name w:val="List Bullet 4"/>
    <w:basedOn w:val="Normal"/>
    <w:uiPriority w:val="99"/>
    <w:semiHidden/>
    <w:unhideWhenUsed/>
    <w:rsid w:val="00A66A07"/>
    <w:pPr>
      <w:numPr>
        <w:numId w:val="6"/>
      </w:numPr>
      <w:contextualSpacing/>
    </w:pPr>
  </w:style>
  <w:style w:type="paragraph" w:styleId="ListParagraph">
    <w:name w:val="List Paragraph"/>
    <w:basedOn w:val="Normal"/>
    <w:uiPriority w:val="34"/>
    <w:qFormat/>
    <w:rsid w:val="003A64AB"/>
    <w:pPr>
      <w:ind w:left="720"/>
      <w:contextualSpacing/>
    </w:pPr>
  </w:style>
  <w:style w:type="character" w:styleId="CommentReference">
    <w:name w:val="annotation reference"/>
    <w:basedOn w:val="DefaultParagraphFont"/>
    <w:uiPriority w:val="99"/>
    <w:semiHidden/>
    <w:unhideWhenUsed/>
    <w:rsid w:val="002231A9"/>
    <w:rPr>
      <w:sz w:val="16"/>
      <w:szCs w:val="16"/>
    </w:rPr>
  </w:style>
  <w:style w:type="paragraph" w:styleId="CommentText">
    <w:name w:val="annotation text"/>
    <w:basedOn w:val="Normal"/>
    <w:link w:val="CommentTextChar"/>
    <w:uiPriority w:val="99"/>
    <w:semiHidden/>
    <w:unhideWhenUsed/>
    <w:rsid w:val="002231A9"/>
    <w:rPr>
      <w:sz w:val="20"/>
      <w:szCs w:val="20"/>
    </w:rPr>
  </w:style>
  <w:style w:type="character" w:customStyle="1" w:styleId="CommentTextChar">
    <w:name w:val="Comment Text Char"/>
    <w:basedOn w:val="DefaultParagraphFont"/>
    <w:link w:val="CommentText"/>
    <w:uiPriority w:val="99"/>
    <w:semiHidden/>
    <w:rsid w:val="002231A9"/>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rsid w:val="002231A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1A9"/>
    <w:rPr>
      <w:rFonts w:ascii="Segoe UI" w:hAnsi="Segoe UI" w:cs="Segoe UI"/>
      <w:sz w:val="18"/>
      <w:szCs w:val="18"/>
      <w:lang w:val="en-GB"/>
    </w:rPr>
  </w:style>
  <w:style w:type="character" w:styleId="FollowedHyperlink">
    <w:name w:val="FollowedHyperlink"/>
    <w:basedOn w:val="DefaultParagraphFont"/>
    <w:uiPriority w:val="99"/>
    <w:semiHidden/>
    <w:unhideWhenUsed/>
    <w:rsid w:val="0080791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36838"/>
    <w:rPr>
      <w:b/>
      <w:bCs/>
    </w:rPr>
  </w:style>
  <w:style w:type="character" w:customStyle="1" w:styleId="CommentSubjectChar">
    <w:name w:val="Comment Subject Char"/>
    <w:basedOn w:val="CommentTextChar"/>
    <w:link w:val="CommentSubject"/>
    <w:uiPriority w:val="99"/>
    <w:semiHidden/>
    <w:rsid w:val="00836838"/>
    <w:rPr>
      <w:rFonts w:ascii="Times New Roman" w:hAnsi="Times New Roman" w:cs="Times New Roman"/>
      <w:b/>
      <w:bCs/>
      <w:sz w:val="20"/>
      <w:szCs w:val="20"/>
      <w:lang w:val="en-GB"/>
    </w:rPr>
  </w:style>
  <w:style w:type="paragraph" w:styleId="Revision">
    <w:name w:val="Revision"/>
    <w:hidden/>
    <w:uiPriority w:val="99"/>
    <w:semiHidden/>
    <w:rsid w:val="004B34DE"/>
    <w:pPr>
      <w:spacing w:after="0" w:line="240" w:lineRule="auto"/>
    </w:pPr>
    <w:rPr>
      <w:rFonts w:ascii="Times New Roman" w:hAnsi="Times New Roman" w:cs="Times New Roman"/>
      <w:sz w:val="24"/>
      <w:lang w:val="en-GB"/>
    </w:rPr>
  </w:style>
  <w:style w:type="paragraph" w:styleId="EndnoteText">
    <w:name w:val="endnote text"/>
    <w:basedOn w:val="Normal"/>
    <w:link w:val="EndnoteTextChar"/>
    <w:uiPriority w:val="99"/>
    <w:semiHidden/>
    <w:unhideWhenUsed/>
    <w:rsid w:val="005D3258"/>
    <w:pPr>
      <w:spacing w:before="0" w:after="0"/>
    </w:pPr>
    <w:rPr>
      <w:sz w:val="20"/>
      <w:szCs w:val="20"/>
    </w:rPr>
  </w:style>
  <w:style w:type="character" w:customStyle="1" w:styleId="EndnoteTextChar">
    <w:name w:val="Endnote Text Char"/>
    <w:basedOn w:val="DefaultParagraphFont"/>
    <w:link w:val="EndnoteText"/>
    <w:uiPriority w:val="99"/>
    <w:semiHidden/>
    <w:rsid w:val="005D3258"/>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5D3258"/>
    <w:rPr>
      <w:vertAlign w:val="superscript"/>
    </w:rPr>
  </w:style>
  <w:style w:type="paragraph" w:styleId="Caption">
    <w:name w:val="caption"/>
    <w:basedOn w:val="Normal"/>
    <w:next w:val="Normal"/>
    <w:uiPriority w:val="35"/>
    <w:semiHidden/>
    <w:unhideWhenUsed/>
    <w:qFormat/>
    <w:rsid w:val="00220308"/>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220308"/>
    <w:pPr>
      <w:spacing w:after="0"/>
    </w:pPr>
  </w:style>
  <w:style w:type="paragraph" w:styleId="ListNumber2">
    <w:name w:val="List Number 2"/>
    <w:basedOn w:val="Normal"/>
    <w:uiPriority w:val="99"/>
    <w:semiHidden/>
    <w:unhideWhenUsed/>
    <w:rsid w:val="00220308"/>
    <w:pPr>
      <w:numPr>
        <w:numId w:val="9"/>
      </w:numPr>
      <w:contextualSpacing/>
    </w:pPr>
  </w:style>
  <w:style w:type="paragraph" w:styleId="ListNumber3">
    <w:name w:val="List Number 3"/>
    <w:basedOn w:val="Normal"/>
    <w:uiPriority w:val="99"/>
    <w:semiHidden/>
    <w:unhideWhenUsed/>
    <w:rsid w:val="00220308"/>
    <w:pPr>
      <w:numPr>
        <w:numId w:val="10"/>
      </w:numPr>
      <w:contextualSpacing/>
    </w:pPr>
  </w:style>
  <w:style w:type="character" w:customStyle="1" w:styleId="Heading5Char">
    <w:name w:val="Heading 5 Char"/>
    <w:basedOn w:val="DefaultParagraphFont"/>
    <w:link w:val="Heading5"/>
    <w:uiPriority w:val="9"/>
    <w:semiHidden/>
    <w:rsid w:val="00031C51"/>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sid w:val="00031C51"/>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sid w:val="00031C51"/>
    <w:rPr>
      <w:rFonts w:ascii="Times New Roman" w:eastAsiaTheme="majorEastAsia" w:hAnsi="Times New Roman" w:cs="Times New Roman"/>
      <w:iCs/>
      <w:sz w:val="24"/>
      <w:lang w:val="en-GB"/>
    </w:rPr>
  </w:style>
  <w:style w:type="paragraph" w:customStyle="1" w:styleId="ManualHeading5">
    <w:name w:val="Manual Heading 5"/>
    <w:basedOn w:val="Normal"/>
    <w:next w:val="Text2"/>
    <w:rsid w:val="00031C51"/>
    <w:pPr>
      <w:keepNext/>
      <w:tabs>
        <w:tab w:val="left" w:pos="1417"/>
      </w:tabs>
      <w:ind w:left="1417" w:hanging="1417"/>
      <w:outlineLvl w:val="4"/>
    </w:pPr>
  </w:style>
  <w:style w:type="paragraph" w:customStyle="1" w:styleId="ManualHeading6">
    <w:name w:val="Manual Heading 6"/>
    <w:basedOn w:val="Normal"/>
    <w:next w:val="Text2"/>
    <w:rsid w:val="00031C51"/>
    <w:pPr>
      <w:keepNext/>
      <w:tabs>
        <w:tab w:val="left" w:pos="1417"/>
      </w:tabs>
      <w:ind w:left="1417" w:hanging="1417"/>
      <w:outlineLvl w:val="5"/>
    </w:pPr>
  </w:style>
  <w:style w:type="paragraph" w:customStyle="1" w:styleId="ManualHeading7">
    <w:name w:val="Manual Heading 7"/>
    <w:basedOn w:val="Normal"/>
    <w:next w:val="Text2"/>
    <w:rsid w:val="00031C51"/>
    <w:pPr>
      <w:keepNext/>
      <w:tabs>
        <w:tab w:val="left" w:pos="1417"/>
      </w:tabs>
      <w:ind w:left="1417" w:hanging="1417"/>
      <w:outlineLvl w:val="6"/>
    </w:pPr>
  </w:style>
  <w:style w:type="paragraph" w:customStyle="1" w:styleId="Text5">
    <w:name w:val="Text 5"/>
    <w:basedOn w:val="Normal"/>
    <w:rsid w:val="00031C51"/>
    <w:pPr>
      <w:ind w:left="3118"/>
    </w:pPr>
  </w:style>
  <w:style w:type="paragraph" w:customStyle="1" w:styleId="Text6">
    <w:name w:val="Text 6"/>
    <w:basedOn w:val="Normal"/>
    <w:rsid w:val="00031C51"/>
    <w:pPr>
      <w:ind w:left="3685"/>
    </w:pPr>
  </w:style>
  <w:style w:type="paragraph" w:customStyle="1" w:styleId="Point5">
    <w:name w:val="Point 5"/>
    <w:basedOn w:val="Normal"/>
    <w:rsid w:val="00031C51"/>
    <w:pPr>
      <w:ind w:left="3685" w:hanging="567"/>
    </w:pPr>
  </w:style>
  <w:style w:type="paragraph" w:customStyle="1" w:styleId="Tiret5">
    <w:name w:val="Tiret 5"/>
    <w:basedOn w:val="Point5"/>
    <w:rsid w:val="00031C51"/>
    <w:pPr>
      <w:numPr>
        <w:numId w:val="13"/>
      </w:numPr>
    </w:pPr>
  </w:style>
  <w:style w:type="paragraph" w:customStyle="1" w:styleId="NumPar5">
    <w:name w:val="NumPar 5"/>
    <w:basedOn w:val="Normal"/>
    <w:next w:val="Text2"/>
    <w:rsid w:val="00031C51"/>
    <w:pPr>
      <w:numPr>
        <w:ilvl w:val="4"/>
        <w:numId w:val="14"/>
      </w:numPr>
    </w:pPr>
  </w:style>
  <w:style w:type="paragraph" w:customStyle="1" w:styleId="NumPar6">
    <w:name w:val="NumPar 6"/>
    <w:basedOn w:val="Normal"/>
    <w:next w:val="Text2"/>
    <w:rsid w:val="00031C51"/>
    <w:pPr>
      <w:numPr>
        <w:ilvl w:val="5"/>
        <w:numId w:val="14"/>
      </w:numPr>
    </w:pPr>
  </w:style>
  <w:style w:type="paragraph" w:customStyle="1" w:styleId="NumPar7">
    <w:name w:val="NumPar 7"/>
    <w:basedOn w:val="Normal"/>
    <w:next w:val="Text2"/>
    <w:rsid w:val="00031C51"/>
    <w:pPr>
      <w:numPr>
        <w:ilvl w:val="6"/>
        <w:numId w:val="14"/>
      </w:numPr>
    </w:pPr>
  </w:style>
  <w:style w:type="paragraph" w:customStyle="1" w:styleId="ManualNumPar5">
    <w:name w:val="Manual NumPar 5"/>
    <w:basedOn w:val="Normal"/>
    <w:next w:val="Text2"/>
    <w:rsid w:val="00031C51"/>
    <w:pPr>
      <w:ind w:left="1417" w:hanging="1417"/>
    </w:pPr>
  </w:style>
  <w:style w:type="paragraph" w:customStyle="1" w:styleId="ManualNumPar6">
    <w:name w:val="Manual NumPar 6"/>
    <w:basedOn w:val="Normal"/>
    <w:next w:val="Text2"/>
    <w:rsid w:val="00031C51"/>
    <w:pPr>
      <w:ind w:left="1417" w:hanging="1417"/>
    </w:pPr>
  </w:style>
  <w:style w:type="paragraph" w:customStyle="1" w:styleId="ManualNumPar7">
    <w:name w:val="Manual NumPar 7"/>
    <w:basedOn w:val="Normal"/>
    <w:next w:val="Text2"/>
    <w:rsid w:val="00031C51"/>
    <w:pPr>
      <w:ind w:left="1417" w:hanging="1417"/>
    </w:pPr>
  </w:style>
  <w:style w:type="paragraph" w:styleId="Header">
    <w:name w:val="header"/>
    <w:basedOn w:val="Normal"/>
    <w:link w:val="HeaderChar"/>
    <w:uiPriority w:val="99"/>
    <w:unhideWhenUsed/>
    <w:rsid w:val="009B7138"/>
    <w:pPr>
      <w:tabs>
        <w:tab w:val="center" w:pos="4535"/>
        <w:tab w:val="right" w:pos="9071"/>
      </w:tabs>
      <w:spacing w:before="0"/>
    </w:pPr>
  </w:style>
  <w:style w:type="character" w:customStyle="1" w:styleId="HeaderChar">
    <w:name w:val="Header Char"/>
    <w:basedOn w:val="DefaultParagraphFont"/>
    <w:link w:val="Header"/>
    <w:uiPriority w:val="99"/>
    <w:rsid w:val="009B7138"/>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9B713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9B713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9B713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9B713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9B713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9B713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9B713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9B713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9B7138"/>
    <w:pPr>
      <w:spacing w:after="240"/>
      <w:jc w:val="center"/>
    </w:pPr>
    <w:rPr>
      <w:b/>
      <w:sz w:val="28"/>
    </w:rPr>
  </w:style>
  <w:style w:type="paragraph" w:styleId="TOC1">
    <w:name w:val="toc 1"/>
    <w:basedOn w:val="Normal"/>
    <w:next w:val="Normal"/>
    <w:uiPriority w:val="39"/>
    <w:semiHidden/>
    <w:unhideWhenUsed/>
    <w:rsid w:val="009B7138"/>
    <w:pPr>
      <w:tabs>
        <w:tab w:val="right" w:leader="dot" w:pos="9071"/>
      </w:tabs>
      <w:spacing w:before="60"/>
      <w:ind w:left="850" w:hanging="850"/>
      <w:jc w:val="left"/>
    </w:pPr>
  </w:style>
  <w:style w:type="paragraph" w:styleId="TOC2">
    <w:name w:val="toc 2"/>
    <w:basedOn w:val="Normal"/>
    <w:next w:val="Normal"/>
    <w:uiPriority w:val="39"/>
    <w:semiHidden/>
    <w:unhideWhenUsed/>
    <w:rsid w:val="009B7138"/>
    <w:pPr>
      <w:tabs>
        <w:tab w:val="right" w:leader="dot" w:pos="9071"/>
      </w:tabs>
      <w:spacing w:before="60"/>
      <w:ind w:left="850" w:hanging="850"/>
      <w:jc w:val="left"/>
    </w:pPr>
  </w:style>
  <w:style w:type="paragraph" w:styleId="TOC3">
    <w:name w:val="toc 3"/>
    <w:basedOn w:val="Normal"/>
    <w:next w:val="Normal"/>
    <w:uiPriority w:val="39"/>
    <w:semiHidden/>
    <w:unhideWhenUsed/>
    <w:rsid w:val="009B7138"/>
    <w:pPr>
      <w:tabs>
        <w:tab w:val="right" w:leader="dot" w:pos="9071"/>
      </w:tabs>
      <w:spacing w:before="60"/>
      <w:ind w:left="850" w:hanging="850"/>
      <w:jc w:val="left"/>
    </w:pPr>
  </w:style>
  <w:style w:type="paragraph" w:styleId="TOC4">
    <w:name w:val="toc 4"/>
    <w:basedOn w:val="Normal"/>
    <w:next w:val="Normal"/>
    <w:uiPriority w:val="39"/>
    <w:semiHidden/>
    <w:unhideWhenUsed/>
    <w:rsid w:val="009B7138"/>
    <w:pPr>
      <w:tabs>
        <w:tab w:val="right" w:leader="dot" w:pos="9071"/>
      </w:tabs>
      <w:spacing w:before="60"/>
      <w:ind w:left="850" w:hanging="850"/>
      <w:jc w:val="left"/>
    </w:pPr>
  </w:style>
  <w:style w:type="paragraph" w:styleId="TOC5">
    <w:name w:val="toc 5"/>
    <w:basedOn w:val="Normal"/>
    <w:next w:val="Normal"/>
    <w:uiPriority w:val="39"/>
    <w:semiHidden/>
    <w:unhideWhenUsed/>
    <w:rsid w:val="009B7138"/>
    <w:pPr>
      <w:tabs>
        <w:tab w:val="right" w:leader="dot" w:pos="9071"/>
      </w:tabs>
      <w:spacing w:before="300"/>
      <w:jc w:val="left"/>
    </w:pPr>
  </w:style>
  <w:style w:type="paragraph" w:styleId="TOC6">
    <w:name w:val="toc 6"/>
    <w:basedOn w:val="Normal"/>
    <w:next w:val="Normal"/>
    <w:uiPriority w:val="39"/>
    <w:semiHidden/>
    <w:unhideWhenUsed/>
    <w:rsid w:val="009B7138"/>
    <w:pPr>
      <w:tabs>
        <w:tab w:val="right" w:leader="dot" w:pos="9071"/>
      </w:tabs>
      <w:spacing w:before="240"/>
      <w:jc w:val="left"/>
    </w:pPr>
  </w:style>
  <w:style w:type="paragraph" w:styleId="TOC7">
    <w:name w:val="toc 7"/>
    <w:basedOn w:val="Normal"/>
    <w:next w:val="Normal"/>
    <w:uiPriority w:val="39"/>
    <w:semiHidden/>
    <w:unhideWhenUsed/>
    <w:rsid w:val="009B7138"/>
    <w:pPr>
      <w:tabs>
        <w:tab w:val="right" w:leader="dot" w:pos="9071"/>
      </w:tabs>
      <w:spacing w:before="180"/>
      <w:jc w:val="left"/>
    </w:pPr>
  </w:style>
  <w:style w:type="paragraph" w:styleId="TOC8">
    <w:name w:val="toc 8"/>
    <w:basedOn w:val="Normal"/>
    <w:next w:val="Normal"/>
    <w:uiPriority w:val="39"/>
    <w:semiHidden/>
    <w:unhideWhenUsed/>
    <w:rsid w:val="009B7138"/>
    <w:pPr>
      <w:tabs>
        <w:tab w:val="right" w:leader="dot" w:pos="9071"/>
      </w:tabs>
      <w:jc w:val="left"/>
    </w:pPr>
  </w:style>
  <w:style w:type="paragraph" w:styleId="TOC9">
    <w:name w:val="toc 9"/>
    <w:basedOn w:val="Normal"/>
    <w:next w:val="Normal"/>
    <w:uiPriority w:val="39"/>
    <w:semiHidden/>
    <w:unhideWhenUsed/>
    <w:rsid w:val="009B7138"/>
    <w:pPr>
      <w:tabs>
        <w:tab w:val="right" w:leader="dot" w:pos="9071"/>
      </w:tabs>
    </w:pPr>
  </w:style>
  <w:style w:type="paragraph" w:customStyle="1" w:styleId="HeaderLandscape">
    <w:name w:val="HeaderLandscape"/>
    <w:basedOn w:val="Normal"/>
    <w:rsid w:val="009B7138"/>
    <w:pPr>
      <w:tabs>
        <w:tab w:val="center" w:pos="7285"/>
        <w:tab w:val="right" w:pos="14003"/>
      </w:tabs>
      <w:spacing w:before="0"/>
    </w:pPr>
  </w:style>
  <w:style w:type="paragraph" w:customStyle="1" w:styleId="FooterLandscape">
    <w:name w:val="FooterLandscape"/>
    <w:basedOn w:val="Normal"/>
    <w:rsid w:val="009B713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9B7138"/>
    <w:rPr>
      <w:shd w:val="clear" w:color="auto" w:fill="auto"/>
      <w:vertAlign w:val="superscript"/>
    </w:rPr>
  </w:style>
  <w:style w:type="paragraph" w:customStyle="1" w:styleId="HeaderSensitivity">
    <w:name w:val="Header Sensitivity"/>
    <w:basedOn w:val="Normal"/>
    <w:rsid w:val="009B713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9B7138"/>
    <w:pPr>
      <w:spacing w:before="0"/>
      <w:jc w:val="right"/>
    </w:pPr>
    <w:rPr>
      <w:sz w:val="28"/>
    </w:rPr>
  </w:style>
  <w:style w:type="paragraph" w:customStyle="1" w:styleId="FooterSensitivity">
    <w:name w:val="Footer Sensitivity"/>
    <w:basedOn w:val="Normal"/>
    <w:rsid w:val="009B713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9B7138"/>
    <w:pPr>
      <w:ind w:left="850"/>
    </w:pPr>
  </w:style>
  <w:style w:type="paragraph" w:customStyle="1" w:styleId="Text2">
    <w:name w:val="Text 2"/>
    <w:basedOn w:val="Normal"/>
    <w:rsid w:val="009B7138"/>
    <w:pPr>
      <w:ind w:left="1417"/>
    </w:pPr>
  </w:style>
  <w:style w:type="paragraph" w:customStyle="1" w:styleId="Text3">
    <w:name w:val="Text 3"/>
    <w:basedOn w:val="Normal"/>
    <w:rsid w:val="009B7138"/>
    <w:pPr>
      <w:ind w:left="1984"/>
    </w:pPr>
  </w:style>
  <w:style w:type="paragraph" w:customStyle="1" w:styleId="Text4">
    <w:name w:val="Text 4"/>
    <w:basedOn w:val="Normal"/>
    <w:rsid w:val="009B7138"/>
    <w:pPr>
      <w:ind w:left="2551"/>
    </w:pPr>
  </w:style>
  <w:style w:type="paragraph" w:customStyle="1" w:styleId="NormalCentered">
    <w:name w:val="Normal Centered"/>
    <w:basedOn w:val="Normal"/>
    <w:rsid w:val="009B7138"/>
    <w:pPr>
      <w:jc w:val="center"/>
    </w:pPr>
  </w:style>
  <w:style w:type="paragraph" w:customStyle="1" w:styleId="NormalLeft">
    <w:name w:val="Normal Left"/>
    <w:basedOn w:val="Normal"/>
    <w:rsid w:val="009B7138"/>
    <w:pPr>
      <w:jc w:val="left"/>
    </w:pPr>
  </w:style>
  <w:style w:type="paragraph" w:customStyle="1" w:styleId="NormalRight">
    <w:name w:val="Normal Right"/>
    <w:basedOn w:val="Normal"/>
    <w:rsid w:val="009B7138"/>
    <w:pPr>
      <w:jc w:val="right"/>
    </w:pPr>
  </w:style>
  <w:style w:type="paragraph" w:customStyle="1" w:styleId="QuotedText">
    <w:name w:val="Quoted Text"/>
    <w:basedOn w:val="Normal"/>
    <w:rsid w:val="009B7138"/>
    <w:pPr>
      <w:ind w:left="1417"/>
    </w:pPr>
  </w:style>
  <w:style w:type="paragraph" w:customStyle="1" w:styleId="Point0">
    <w:name w:val="Point 0"/>
    <w:basedOn w:val="Normal"/>
    <w:rsid w:val="009B7138"/>
    <w:pPr>
      <w:ind w:left="850" w:hanging="850"/>
    </w:pPr>
  </w:style>
  <w:style w:type="paragraph" w:customStyle="1" w:styleId="Point1">
    <w:name w:val="Point 1"/>
    <w:basedOn w:val="Normal"/>
    <w:rsid w:val="009B7138"/>
    <w:pPr>
      <w:ind w:left="1417" w:hanging="567"/>
    </w:pPr>
  </w:style>
  <w:style w:type="paragraph" w:customStyle="1" w:styleId="Point2">
    <w:name w:val="Point 2"/>
    <w:basedOn w:val="Normal"/>
    <w:rsid w:val="009B7138"/>
    <w:pPr>
      <w:ind w:left="1984" w:hanging="567"/>
    </w:pPr>
  </w:style>
  <w:style w:type="paragraph" w:customStyle="1" w:styleId="Point3">
    <w:name w:val="Point 3"/>
    <w:basedOn w:val="Normal"/>
    <w:rsid w:val="009B7138"/>
    <w:pPr>
      <w:ind w:left="2551" w:hanging="567"/>
    </w:pPr>
  </w:style>
  <w:style w:type="paragraph" w:customStyle="1" w:styleId="Point4">
    <w:name w:val="Point 4"/>
    <w:basedOn w:val="Normal"/>
    <w:rsid w:val="009B7138"/>
    <w:pPr>
      <w:ind w:left="3118" w:hanging="567"/>
    </w:pPr>
  </w:style>
  <w:style w:type="paragraph" w:customStyle="1" w:styleId="Tiret0">
    <w:name w:val="Tiret 0"/>
    <w:basedOn w:val="Point0"/>
    <w:rsid w:val="009B7138"/>
    <w:pPr>
      <w:numPr>
        <w:numId w:val="15"/>
      </w:numPr>
    </w:pPr>
  </w:style>
  <w:style w:type="paragraph" w:customStyle="1" w:styleId="Tiret1">
    <w:name w:val="Tiret 1"/>
    <w:basedOn w:val="Point1"/>
    <w:rsid w:val="009B7138"/>
    <w:pPr>
      <w:numPr>
        <w:numId w:val="16"/>
      </w:numPr>
    </w:pPr>
  </w:style>
  <w:style w:type="paragraph" w:customStyle="1" w:styleId="Tiret2">
    <w:name w:val="Tiret 2"/>
    <w:basedOn w:val="Point2"/>
    <w:rsid w:val="009B7138"/>
    <w:pPr>
      <w:numPr>
        <w:numId w:val="17"/>
      </w:numPr>
    </w:pPr>
  </w:style>
  <w:style w:type="paragraph" w:customStyle="1" w:styleId="Tiret3">
    <w:name w:val="Tiret 3"/>
    <w:basedOn w:val="Point3"/>
    <w:rsid w:val="009B7138"/>
    <w:pPr>
      <w:numPr>
        <w:numId w:val="18"/>
      </w:numPr>
    </w:pPr>
  </w:style>
  <w:style w:type="paragraph" w:customStyle="1" w:styleId="Tiret4">
    <w:name w:val="Tiret 4"/>
    <w:basedOn w:val="Point4"/>
    <w:rsid w:val="009B7138"/>
    <w:pPr>
      <w:numPr>
        <w:numId w:val="19"/>
      </w:numPr>
    </w:pPr>
  </w:style>
  <w:style w:type="paragraph" w:customStyle="1" w:styleId="PointDouble0">
    <w:name w:val="PointDouble 0"/>
    <w:basedOn w:val="Normal"/>
    <w:rsid w:val="009B7138"/>
    <w:pPr>
      <w:tabs>
        <w:tab w:val="left" w:pos="850"/>
      </w:tabs>
      <w:ind w:left="1417" w:hanging="1417"/>
    </w:pPr>
  </w:style>
  <w:style w:type="paragraph" w:customStyle="1" w:styleId="PointDouble1">
    <w:name w:val="PointDouble 1"/>
    <w:basedOn w:val="Normal"/>
    <w:rsid w:val="009B7138"/>
    <w:pPr>
      <w:tabs>
        <w:tab w:val="left" w:pos="1417"/>
      </w:tabs>
      <w:ind w:left="1984" w:hanging="1134"/>
    </w:pPr>
  </w:style>
  <w:style w:type="paragraph" w:customStyle="1" w:styleId="PointDouble2">
    <w:name w:val="PointDouble 2"/>
    <w:basedOn w:val="Normal"/>
    <w:rsid w:val="009B7138"/>
    <w:pPr>
      <w:tabs>
        <w:tab w:val="left" w:pos="1984"/>
      </w:tabs>
      <w:ind w:left="2551" w:hanging="1134"/>
    </w:pPr>
  </w:style>
  <w:style w:type="paragraph" w:customStyle="1" w:styleId="PointDouble3">
    <w:name w:val="PointDouble 3"/>
    <w:basedOn w:val="Normal"/>
    <w:rsid w:val="009B7138"/>
    <w:pPr>
      <w:tabs>
        <w:tab w:val="left" w:pos="2551"/>
      </w:tabs>
      <w:ind w:left="3118" w:hanging="1134"/>
    </w:pPr>
  </w:style>
  <w:style w:type="paragraph" w:customStyle="1" w:styleId="PointDouble4">
    <w:name w:val="PointDouble 4"/>
    <w:basedOn w:val="Normal"/>
    <w:rsid w:val="009B7138"/>
    <w:pPr>
      <w:tabs>
        <w:tab w:val="left" w:pos="3118"/>
      </w:tabs>
      <w:ind w:left="3685" w:hanging="1134"/>
    </w:pPr>
  </w:style>
  <w:style w:type="paragraph" w:customStyle="1" w:styleId="PointTriple0">
    <w:name w:val="PointTriple 0"/>
    <w:basedOn w:val="Normal"/>
    <w:rsid w:val="009B7138"/>
    <w:pPr>
      <w:tabs>
        <w:tab w:val="left" w:pos="850"/>
        <w:tab w:val="left" w:pos="1417"/>
      </w:tabs>
      <w:ind w:left="1984" w:hanging="1984"/>
    </w:pPr>
  </w:style>
  <w:style w:type="paragraph" w:customStyle="1" w:styleId="PointTriple1">
    <w:name w:val="PointTriple 1"/>
    <w:basedOn w:val="Normal"/>
    <w:rsid w:val="009B7138"/>
    <w:pPr>
      <w:tabs>
        <w:tab w:val="left" w:pos="1417"/>
        <w:tab w:val="left" w:pos="1984"/>
      </w:tabs>
      <w:ind w:left="2551" w:hanging="1701"/>
    </w:pPr>
  </w:style>
  <w:style w:type="paragraph" w:customStyle="1" w:styleId="PointTriple2">
    <w:name w:val="PointTriple 2"/>
    <w:basedOn w:val="Normal"/>
    <w:rsid w:val="009B7138"/>
    <w:pPr>
      <w:tabs>
        <w:tab w:val="left" w:pos="1984"/>
        <w:tab w:val="left" w:pos="2551"/>
      </w:tabs>
      <w:ind w:left="3118" w:hanging="1701"/>
    </w:pPr>
  </w:style>
  <w:style w:type="paragraph" w:customStyle="1" w:styleId="PointTriple3">
    <w:name w:val="PointTriple 3"/>
    <w:basedOn w:val="Normal"/>
    <w:rsid w:val="009B7138"/>
    <w:pPr>
      <w:tabs>
        <w:tab w:val="left" w:pos="2551"/>
        <w:tab w:val="left" w:pos="3118"/>
      </w:tabs>
      <w:ind w:left="3685" w:hanging="1701"/>
    </w:pPr>
  </w:style>
  <w:style w:type="paragraph" w:customStyle="1" w:styleId="PointTriple4">
    <w:name w:val="PointTriple 4"/>
    <w:basedOn w:val="Normal"/>
    <w:rsid w:val="009B7138"/>
    <w:pPr>
      <w:tabs>
        <w:tab w:val="left" w:pos="3118"/>
        <w:tab w:val="left" w:pos="3685"/>
      </w:tabs>
      <w:ind w:left="4252" w:hanging="1701"/>
    </w:pPr>
  </w:style>
  <w:style w:type="paragraph" w:customStyle="1" w:styleId="NumPar1">
    <w:name w:val="NumPar 1"/>
    <w:basedOn w:val="Normal"/>
    <w:next w:val="Text1"/>
    <w:rsid w:val="009B7138"/>
    <w:pPr>
      <w:numPr>
        <w:numId w:val="20"/>
      </w:numPr>
    </w:pPr>
  </w:style>
  <w:style w:type="paragraph" w:customStyle="1" w:styleId="NumPar2">
    <w:name w:val="NumPar 2"/>
    <w:basedOn w:val="Normal"/>
    <w:next w:val="Text1"/>
    <w:rsid w:val="009B7138"/>
    <w:pPr>
      <w:numPr>
        <w:ilvl w:val="1"/>
        <w:numId w:val="20"/>
      </w:numPr>
    </w:pPr>
  </w:style>
  <w:style w:type="paragraph" w:customStyle="1" w:styleId="NumPar3">
    <w:name w:val="NumPar 3"/>
    <w:basedOn w:val="Normal"/>
    <w:next w:val="Text1"/>
    <w:rsid w:val="009B7138"/>
    <w:pPr>
      <w:numPr>
        <w:ilvl w:val="2"/>
        <w:numId w:val="20"/>
      </w:numPr>
    </w:pPr>
  </w:style>
  <w:style w:type="paragraph" w:customStyle="1" w:styleId="NumPar4">
    <w:name w:val="NumPar 4"/>
    <w:basedOn w:val="Normal"/>
    <w:next w:val="Text1"/>
    <w:rsid w:val="009B7138"/>
    <w:pPr>
      <w:numPr>
        <w:ilvl w:val="3"/>
        <w:numId w:val="20"/>
      </w:numPr>
    </w:pPr>
  </w:style>
  <w:style w:type="paragraph" w:customStyle="1" w:styleId="ManualNumPar1">
    <w:name w:val="Manual NumPar 1"/>
    <w:basedOn w:val="Normal"/>
    <w:next w:val="Text1"/>
    <w:rsid w:val="009B7138"/>
    <w:pPr>
      <w:ind w:left="850" w:hanging="850"/>
    </w:pPr>
  </w:style>
  <w:style w:type="paragraph" w:customStyle="1" w:styleId="ManualNumPar2">
    <w:name w:val="Manual NumPar 2"/>
    <w:basedOn w:val="Normal"/>
    <w:next w:val="Text1"/>
    <w:rsid w:val="009B7138"/>
    <w:pPr>
      <w:ind w:left="850" w:hanging="850"/>
    </w:pPr>
  </w:style>
  <w:style w:type="paragraph" w:customStyle="1" w:styleId="ManualNumPar3">
    <w:name w:val="Manual NumPar 3"/>
    <w:basedOn w:val="Normal"/>
    <w:next w:val="Text1"/>
    <w:rsid w:val="009B7138"/>
    <w:pPr>
      <w:ind w:left="850" w:hanging="850"/>
    </w:pPr>
  </w:style>
  <w:style w:type="paragraph" w:customStyle="1" w:styleId="ManualNumPar4">
    <w:name w:val="Manual NumPar 4"/>
    <w:basedOn w:val="Normal"/>
    <w:next w:val="Text1"/>
    <w:rsid w:val="009B7138"/>
    <w:pPr>
      <w:ind w:left="850" w:hanging="850"/>
    </w:pPr>
  </w:style>
  <w:style w:type="paragraph" w:customStyle="1" w:styleId="QuotedNumPar">
    <w:name w:val="Quoted NumPar"/>
    <w:basedOn w:val="Normal"/>
    <w:rsid w:val="009B7138"/>
    <w:pPr>
      <w:ind w:left="1417" w:hanging="567"/>
    </w:pPr>
  </w:style>
  <w:style w:type="paragraph" w:customStyle="1" w:styleId="ManualHeading1">
    <w:name w:val="Manual Heading 1"/>
    <w:basedOn w:val="Normal"/>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7138"/>
    <w:pPr>
      <w:keepNext/>
      <w:tabs>
        <w:tab w:val="left" w:pos="850"/>
      </w:tabs>
      <w:ind w:left="850" w:hanging="850"/>
      <w:outlineLvl w:val="1"/>
    </w:pPr>
    <w:rPr>
      <w:b/>
    </w:rPr>
  </w:style>
  <w:style w:type="paragraph" w:customStyle="1" w:styleId="ManualHeading3">
    <w:name w:val="Manual Heading 3"/>
    <w:basedOn w:val="Normal"/>
    <w:next w:val="Text1"/>
    <w:rsid w:val="009B7138"/>
    <w:pPr>
      <w:keepNext/>
      <w:tabs>
        <w:tab w:val="left" w:pos="850"/>
      </w:tabs>
      <w:ind w:left="850" w:hanging="850"/>
      <w:outlineLvl w:val="2"/>
    </w:pPr>
    <w:rPr>
      <w:i/>
    </w:rPr>
  </w:style>
  <w:style w:type="paragraph" w:customStyle="1" w:styleId="ManualHeading4">
    <w:name w:val="Manual Heading 4"/>
    <w:basedOn w:val="Normal"/>
    <w:next w:val="Text1"/>
    <w:rsid w:val="009B7138"/>
    <w:pPr>
      <w:keepNext/>
      <w:tabs>
        <w:tab w:val="left" w:pos="850"/>
      </w:tabs>
      <w:ind w:left="850" w:hanging="850"/>
      <w:outlineLvl w:val="3"/>
    </w:pPr>
  </w:style>
  <w:style w:type="paragraph" w:customStyle="1" w:styleId="ChapterTitle">
    <w:name w:val="ChapterTitle"/>
    <w:basedOn w:val="Normal"/>
    <w:next w:val="Normal"/>
    <w:rsid w:val="009B7138"/>
    <w:pPr>
      <w:keepNext/>
      <w:spacing w:after="360"/>
      <w:jc w:val="center"/>
    </w:pPr>
    <w:rPr>
      <w:b/>
      <w:sz w:val="32"/>
    </w:rPr>
  </w:style>
  <w:style w:type="paragraph" w:customStyle="1" w:styleId="PartTitle">
    <w:name w:val="PartTitle"/>
    <w:basedOn w:val="Normal"/>
    <w:next w:val="ChapterTitle"/>
    <w:rsid w:val="009B7138"/>
    <w:pPr>
      <w:keepNext/>
      <w:pageBreakBefore/>
      <w:spacing w:after="360"/>
      <w:jc w:val="center"/>
    </w:pPr>
    <w:rPr>
      <w:b/>
      <w:sz w:val="36"/>
    </w:rPr>
  </w:style>
  <w:style w:type="paragraph" w:customStyle="1" w:styleId="SectionTitle">
    <w:name w:val="SectionTitle"/>
    <w:basedOn w:val="Normal"/>
    <w:next w:val="Heading1"/>
    <w:rsid w:val="009B7138"/>
    <w:pPr>
      <w:keepNext/>
      <w:spacing w:after="360"/>
      <w:jc w:val="center"/>
    </w:pPr>
    <w:rPr>
      <w:b/>
      <w:smallCaps/>
      <w:sz w:val="28"/>
    </w:rPr>
  </w:style>
  <w:style w:type="paragraph" w:customStyle="1" w:styleId="TableTitle">
    <w:name w:val="Table Title"/>
    <w:basedOn w:val="Normal"/>
    <w:next w:val="Normal"/>
    <w:rsid w:val="009B7138"/>
    <w:pPr>
      <w:jc w:val="center"/>
    </w:pPr>
    <w:rPr>
      <w:b/>
    </w:rPr>
  </w:style>
  <w:style w:type="character" w:customStyle="1" w:styleId="Marker">
    <w:name w:val="Marker"/>
    <w:basedOn w:val="DefaultParagraphFont"/>
    <w:rsid w:val="00AF5CBC"/>
    <w:rPr>
      <w:color w:val="0000FF"/>
      <w:shd w:val="clear" w:color="auto" w:fill="auto"/>
    </w:rPr>
  </w:style>
  <w:style w:type="character" w:customStyle="1" w:styleId="Marker1">
    <w:name w:val="Marker1"/>
    <w:basedOn w:val="DefaultParagraphFont"/>
    <w:rsid w:val="009B7138"/>
    <w:rPr>
      <w:color w:val="008000"/>
      <w:shd w:val="clear" w:color="auto" w:fill="auto"/>
    </w:rPr>
  </w:style>
  <w:style w:type="character" w:customStyle="1" w:styleId="Marker2">
    <w:name w:val="Marker2"/>
    <w:basedOn w:val="DefaultParagraphFont"/>
    <w:rsid w:val="009B7138"/>
    <w:rPr>
      <w:color w:val="FF0000"/>
      <w:shd w:val="clear" w:color="auto" w:fill="auto"/>
    </w:rPr>
  </w:style>
  <w:style w:type="paragraph" w:customStyle="1" w:styleId="Point0number">
    <w:name w:val="Point 0 (number)"/>
    <w:basedOn w:val="Normal"/>
    <w:rsid w:val="009B7138"/>
    <w:pPr>
      <w:numPr>
        <w:numId w:val="22"/>
      </w:numPr>
    </w:pPr>
  </w:style>
  <w:style w:type="paragraph" w:customStyle="1" w:styleId="Point1number">
    <w:name w:val="Point 1 (number)"/>
    <w:basedOn w:val="Normal"/>
    <w:rsid w:val="009B7138"/>
    <w:pPr>
      <w:numPr>
        <w:ilvl w:val="2"/>
        <w:numId w:val="22"/>
      </w:numPr>
    </w:pPr>
  </w:style>
  <w:style w:type="paragraph" w:customStyle="1" w:styleId="Point2number">
    <w:name w:val="Point 2 (number)"/>
    <w:basedOn w:val="Normal"/>
    <w:rsid w:val="009B7138"/>
    <w:pPr>
      <w:numPr>
        <w:ilvl w:val="4"/>
        <w:numId w:val="22"/>
      </w:numPr>
    </w:pPr>
  </w:style>
  <w:style w:type="paragraph" w:customStyle="1" w:styleId="Point3number">
    <w:name w:val="Point 3 (number)"/>
    <w:basedOn w:val="Normal"/>
    <w:rsid w:val="009B7138"/>
    <w:pPr>
      <w:numPr>
        <w:ilvl w:val="6"/>
        <w:numId w:val="22"/>
      </w:numPr>
    </w:pPr>
  </w:style>
  <w:style w:type="paragraph" w:customStyle="1" w:styleId="Point0letter">
    <w:name w:val="Point 0 (letter)"/>
    <w:basedOn w:val="Normal"/>
    <w:rsid w:val="009B7138"/>
    <w:pPr>
      <w:numPr>
        <w:ilvl w:val="1"/>
        <w:numId w:val="22"/>
      </w:numPr>
    </w:pPr>
  </w:style>
  <w:style w:type="paragraph" w:customStyle="1" w:styleId="Point1letter">
    <w:name w:val="Point 1 (letter)"/>
    <w:basedOn w:val="Normal"/>
    <w:rsid w:val="009B7138"/>
    <w:pPr>
      <w:numPr>
        <w:ilvl w:val="3"/>
        <w:numId w:val="22"/>
      </w:numPr>
    </w:pPr>
  </w:style>
  <w:style w:type="paragraph" w:customStyle="1" w:styleId="Point2letter">
    <w:name w:val="Point 2 (letter)"/>
    <w:basedOn w:val="Normal"/>
    <w:rsid w:val="009B7138"/>
    <w:pPr>
      <w:numPr>
        <w:ilvl w:val="5"/>
        <w:numId w:val="22"/>
      </w:numPr>
    </w:pPr>
  </w:style>
  <w:style w:type="paragraph" w:customStyle="1" w:styleId="Point3letter">
    <w:name w:val="Point 3 (letter)"/>
    <w:basedOn w:val="Normal"/>
    <w:rsid w:val="009B7138"/>
    <w:pPr>
      <w:numPr>
        <w:ilvl w:val="7"/>
        <w:numId w:val="22"/>
      </w:numPr>
    </w:pPr>
  </w:style>
  <w:style w:type="paragraph" w:customStyle="1" w:styleId="Point4letter">
    <w:name w:val="Point 4 (letter)"/>
    <w:basedOn w:val="Normal"/>
    <w:rsid w:val="009B7138"/>
    <w:pPr>
      <w:numPr>
        <w:ilvl w:val="8"/>
        <w:numId w:val="22"/>
      </w:numPr>
    </w:pPr>
  </w:style>
  <w:style w:type="paragraph" w:customStyle="1" w:styleId="Bullet0">
    <w:name w:val="Bullet 0"/>
    <w:basedOn w:val="Normal"/>
    <w:rsid w:val="009B7138"/>
    <w:pPr>
      <w:numPr>
        <w:numId w:val="23"/>
      </w:numPr>
    </w:pPr>
  </w:style>
  <w:style w:type="paragraph" w:customStyle="1" w:styleId="Bullet1">
    <w:name w:val="Bullet 1"/>
    <w:basedOn w:val="Normal"/>
    <w:rsid w:val="009B7138"/>
    <w:pPr>
      <w:numPr>
        <w:numId w:val="24"/>
      </w:numPr>
    </w:pPr>
  </w:style>
  <w:style w:type="paragraph" w:customStyle="1" w:styleId="Bullet2">
    <w:name w:val="Bullet 2"/>
    <w:basedOn w:val="Normal"/>
    <w:rsid w:val="009B7138"/>
    <w:pPr>
      <w:numPr>
        <w:numId w:val="25"/>
      </w:numPr>
    </w:pPr>
  </w:style>
  <w:style w:type="paragraph" w:customStyle="1" w:styleId="Bullet3">
    <w:name w:val="Bullet 3"/>
    <w:basedOn w:val="Normal"/>
    <w:rsid w:val="009B7138"/>
    <w:pPr>
      <w:numPr>
        <w:numId w:val="26"/>
      </w:numPr>
    </w:pPr>
  </w:style>
  <w:style w:type="paragraph" w:customStyle="1" w:styleId="Bullet4">
    <w:name w:val="Bullet 4"/>
    <w:basedOn w:val="Normal"/>
    <w:rsid w:val="009B7138"/>
    <w:pPr>
      <w:numPr>
        <w:numId w:val="27"/>
      </w:numPr>
    </w:pPr>
  </w:style>
  <w:style w:type="paragraph" w:customStyle="1" w:styleId="Langue">
    <w:name w:val="Langue"/>
    <w:basedOn w:val="Normal"/>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9B7138"/>
    <w:pPr>
      <w:spacing w:before="0" w:after="0"/>
      <w:jc w:val="left"/>
    </w:pPr>
    <w:rPr>
      <w:rFonts w:ascii="Arial" w:hAnsi="Arial" w:cs="Arial"/>
    </w:rPr>
  </w:style>
  <w:style w:type="paragraph" w:customStyle="1" w:styleId="Emission">
    <w:name w:val="Emission"/>
    <w:basedOn w:val="Normal"/>
    <w:next w:val="Rfrenceinstitutionnelle"/>
    <w:rsid w:val="009B7138"/>
    <w:pPr>
      <w:spacing w:before="0" w:after="0"/>
      <w:ind w:left="5103"/>
      <w:jc w:val="left"/>
    </w:pPr>
  </w:style>
  <w:style w:type="paragraph" w:customStyle="1" w:styleId="Rfrenceinstitutionnelle">
    <w:name w:val="Référence institutionnelle"/>
    <w:basedOn w:val="Normal"/>
    <w:next w:val="Confidentialit"/>
    <w:rsid w:val="009B7138"/>
    <w:pPr>
      <w:spacing w:before="0" w:after="240"/>
      <w:ind w:left="5103"/>
      <w:jc w:val="left"/>
    </w:pPr>
  </w:style>
  <w:style w:type="paragraph" w:customStyle="1" w:styleId="Pagedecouverture">
    <w:name w:val="Page de couverture"/>
    <w:basedOn w:val="Normal"/>
    <w:next w:val="Normal"/>
    <w:rsid w:val="009B7138"/>
    <w:pPr>
      <w:spacing w:before="0" w:after="0"/>
    </w:pPr>
  </w:style>
  <w:style w:type="paragraph" w:customStyle="1" w:styleId="Declassification">
    <w:name w:val="Declassification"/>
    <w:basedOn w:val="Normal"/>
    <w:next w:val="Normal"/>
    <w:rsid w:val="009B7138"/>
    <w:pPr>
      <w:spacing w:before="0" w:after="0"/>
    </w:pPr>
  </w:style>
  <w:style w:type="paragraph" w:customStyle="1" w:styleId="Disclaimer">
    <w:name w:val="Disclaimer"/>
    <w:basedOn w:val="Normal"/>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9B7138"/>
    <w:pPr>
      <w:spacing w:before="0" w:after="0" w:line="276" w:lineRule="auto"/>
      <w:ind w:left="5103"/>
      <w:jc w:val="left"/>
    </w:pPr>
    <w:rPr>
      <w:sz w:val="28"/>
    </w:rPr>
  </w:style>
  <w:style w:type="paragraph" w:customStyle="1" w:styleId="DateMarking">
    <w:name w:val="DateMarking"/>
    <w:basedOn w:val="Normal"/>
    <w:rsid w:val="009B7138"/>
    <w:pPr>
      <w:spacing w:before="0" w:after="0" w:line="276" w:lineRule="auto"/>
      <w:ind w:left="5103"/>
      <w:jc w:val="left"/>
    </w:pPr>
    <w:rPr>
      <w:i/>
      <w:sz w:val="28"/>
    </w:rPr>
  </w:style>
  <w:style w:type="paragraph" w:customStyle="1" w:styleId="ReleasableTo">
    <w:name w:val="ReleasableTo"/>
    <w:basedOn w:val="Normal"/>
    <w:rsid w:val="009B7138"/>
    <w:pPr>
      <w:spacing w:before="0" w:after="0" w:line="276" w:lineRule="auto"/>
      <w:ind w:left="5103"/>
      <w:jc w:val="left"/>
    </w:pPr>
    <w:rPr>
      <w:i/>
      <w:sz w:val="28"/>
    </w:rPr>
  </w:style>
  <w:style w:type="paragraph" w:customStyle="1" w:styleId="Annexetitreexpos">
    <w:name w:val="Annexe titre (exposé)"/>
    <w:basedOn w:val="Normal"/>
    <w:next w:val="Normal"/>
    <w:rsid w:val="009B7138"/>
    <w:pPr>
      <w:jc w:val="center"/>
    </w:pPr>
    <w:rPr>
      <w:b/>
      <w:u w:val="single"/>
    </w:rPr>
  </w:style>
  <w:style w:type="paragraph" w:customStyle="1" w:styleId="Annexetitre">
    <w:name w:val="Annexe titre"/>
    <w:basedOn w:val="Normal"/>
    <w:next w:val="Normal"/>
    <w:rsid w:val="009B7138"/>
    <w:pPr>
      <w:jc w:val="center"/>
    </w:pPr>
    <w:rPr>
      <w:b/>
      <w:u w:val="single"/>
    </w:rPr>
  </w:style>
  <w:style w:type="paragraph" w:customStyle="1" w:styleId="Annexetitrefichefinancire">
    <w:name w:val="Annexe titre (fiche financière)"/>
    <w:basedOn w:val="Normal"/>
    <w:next w:val="Normal"/>
    <w:rsid w:val="009B7138"/>
    <w:pPr>
      <w:jc w:val="center"/>
    </w:pPr>
    <w:rPr>
      <w:b/>
      <w:u w:val="single"/>
    </w:rPr>
  </w:style>
  <w:style w:type="paragraph" w:customStyle="1" w:styleId="Applicationdirecte">
    <w:name w:val="Application directe"/>
    <w:basedOn w:val="Normal"/>
    <w:next w:val="Fait"/>
    <w:rsid w:val="009B7138"/>
    <w:pPr>
      <w:spacing w:before="480"/>
    </w:pPr>
  </w:style>
  <w:style w:type="paragraph" w:customStyle="1" w:styleId="Avertissementtitre">
    <w:name w:val="Avertissement titre"/>
    <w:basedOn w:val="Normal"/>
    <w:next w:val="Normal"/>
    <w:rsid w:val="009B7138"/>
    <w:pPr>
      <w:keepNext/>
      <w:spacing w:before="480"/>
    </w:pPr>
    <w:rPr>
      <w:u w:val="single"/>
    </w:rPr>
  </w:style>
  <w:style w:type="paragraph" w:customStyle="1" w:styleId="Confidence">
    <w:name w:val="Confidence"/>
    <w:basedOn w:val="Normal"/>
    <w:next w:val="Normal"/>
    <w:rsid w:val="009B7138"/>
    <w:pPr>
      <w:spacing w:before="360"/>
      <w:jc w:val="center"/>
    </w:pPr>
  </w:style>
  <w:style w:type="paragraph" w:customStyle="1" w:styleId="Confidentialit">
    <w:name w:val="Confidentialité"/>
    <w:basedOn w:val="Normal"/>
    <w:next w:val="TypedudocumentPagedecouverture"/>
    <w:rsid w:val="009B7138"/>
    <w:pPr>
      <w:spacing w:before="240" w:after="240"/>
      <w:ind w:left="5103"/>
      <w:jc w:val="left"/>
    </w:pPr>
    <w:rPr>
      <w:i/>
      <w:sz w:val="32"/>
    </w:rPr>
  </w:style>
  <w:style w:type="paragraph" w:customStyle="1" w:styleId="Considrant">
    <w:name w:val="Considérant"/>
    <w:basedOn w:val="Normal"/>
    <w:rsid w:val="009B7138"/>
    <w:pPr>
      <w:numPr>
        <w:numId w:val="28"/>
      </w:numPr>
    </w:pPr>
  </w:style>
  <w:style w:type="paragraph" w:customStyle="1" w:styleId="Corrigendum">
    <w:name w:val="Corrigendum"/>
    <w:basedOn w:val="Normal"/>
    <w:next w:val="Normal"/>
    <w:rsid w:val="009B7138"/>
    <w:pPr>
      <w:spacing w:before="0" w:after="240"/>
      <w:jc w:val="left"/>
    </w:pPr>
  </w:style>
  <w:style w:type="paragraph" w:customStyle="1" w:styleId="Datedadoption">
    <w:name w:val="Date d'adoption"/>
    <w:basedOn w:val="Normal"/>
    <w:next w:val="Titreobjet"/>
    <w:rsid w:val="009B7138"/>
    <w:pPr>
      <w:spacing w:before="360" w:after="0"/>
      <w:jc w:val="center"/>
    </w:pPr>
    <w:rPr>
      <w:b/>
    </w:rPr>
  </w:style>
  <w:style w:type="paragraph" w:customStyle="1" w:styleId="Exposdesmotifstitre">
    <w:name w:val="Exposé des motifs titre"/>
    <w:basedOn w:val="Normal"/>
    <w:next w:val="Normal"/>
    <w:rsid w:val="009B7138"/>
    <w:pPr>
      <w:jc w:val="center"/>
    </w:pPr>
    <w:rPr>
      <w:b/>
      <w:u w:val="single"/>
    </w:rPr>
  </w:style>
  <w:style w:type="paragraph" w:customStyle="1" w:styleId="Fait">
    <w:name w:val="Fait à"/>
    <w:basedOn w:val="Normal"/>
    <w:next w:val="Institutionquisigne"/>
    <w:rsid w:val="009B7138"/>
    <w:pPr>
      <w:keepNext/>
      <w:spacing w:after="0"/>
    </w:pPr>
  </w:style>
  <w:style w:type="paragraph" w:customStyle="1" w:styleId="Formuledadoption">
    <w:name w:val="Formule d'adoption"/>
    <w:basedOn w:val="Normal"/>
    <w:next w:val="Titrearticle"/>
    <w:rsid w:val="009B7138"/>
    <w:pPr>
      <w:keepNext/>
    </w:pPr>
  </w:style>
  <w:style w:type="paragraph" w:customStyle="1" w:styleId="Institutionquiagit">
    <w:name w:val="Institution qui agit"/>
    <w:basedOn w:val="Normal"/>
    <w:next w:val="Normal"/>
    <w:rsid w:val="009B7138"/>
    <w:pPr>
      <w:keepNext/>
      <w:spacing w:before="600"/>
    </w:pPr>
  </w:style>
  <w:style w:type="paragraph" w:customStyle="1" w:styleId="Institutionquisigne">
    <w:name w:val="Institution qui signe"/>
    <w:basedOn w:val="Normal"/>
    <w:next w:val="Personnequisigne"/>
    <w:rsid w:val="009B7138"/>
    <w:pPr>
      <w:keepNext/>
      <w:tabs>
        <w:tab w:val="left" w:pos="4252"/>
      </w:tabs>
      <w:spacing w:before="720" w:after="0"/>
    </w:pPr>
    <w:rPr>
      <w:i/>
    </w:rPr>
  </w:style>
  <w:style w:type="paragraph" w:customStyle="1" w:styleId="ManualConsidrant">
    <w:name w:val="Manual Considérant"/>
    <w:basedOn w:val="Normal"/>
    <w:rsid w:val="009B7138"/>
    <w:pPr>
      <w:ind w:left="709" w:hanging="709"/>
    </w:pPr>
  </w:style>
  <w:style w:type="paragraph" w:customStyle="1" w:styleId="Personnequisigne">
    <w:name w:val="Personne qui signe"/>
    <w:basedOn w:val="Normal"/>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
    <w:next w:val="Statut"/>
    <w:rsid w:val="009B7138"/>
    <w:pPr>
      <w:spacing w:before="0" w:after="0"/>
      <w:ind w:left="5103"/>
      <w:jc w:val="left"/>
    </w:pPr>
  </w:style>
  <w:style w:type="paragraph" w:customStyle="1" w:styleId="Rfrenceinterne">
    <w:name w:val="Référence interne"/>
    <w:basedOn w:val="Normal"/>
    <w:next w:val="Rfrenceinterinstitutionnelle"/>
    <w:rsid w:val="009B7138"/>
    <w:pPr>
      <w:spacing w:before="0" w:after="0"/>
      <w:ind w:left="5103"/>
      <w:jc w:val="left"/>
    </w:pPr>
  </w:style>
  <w:style w:type="paragraph" w:customStyle="1" w:styleId="Statut">
    <w:name w:val="Statut"/>
    <w:basedOn w:val="Normal"/>
    <w:next w:val="Typedudocument"/>
    <w:rsid w:val="009B7138"/>
    <w:pPr>
      <w:spacing w:before="360" w:after="0"/>
      <w:jc w:val="center"/>
    </w:pPr>
  </w:style>
  <w:style w:type="paragraph" w:customStyle="1" w:styleId="Titrearticle">
    <w:name w:val="Titre article"/>
    <w:basedOn w:val="Normal"/>
    <w:next w:val="Normal"/>
    <w:rsid w:val="009B7138"/>
    <w:pPr>
      <w:keepNext/>
      <w:spacing w:before="360"/>
      <w:jc w:val="center"/>
    </w:pPr>
    <w:rPr>
      <w:i/>
    </w:rPr>
  </w:style>
  <w:style w:type="paragraph" w:customStyle="1" w:styleId="Titreobjet">
    <w:name w:val="Titre objet"/>
    <w:basedOn w:val="Normal"/>
    <w:next w:val="IntrtEEE"/>
    <w:rsid w:val="009B7138"/>
    <w:pPr>
      <w:spacing w:before="360" w:after="360"/>
      <w:jc w:val="center"/>
    </w:pPr>
    <w:rPr>
      <w:b/>
    </w:rPr>
  </w:style>
  <w:style w:type="paragraph" w:customStyle="1" w:styleId="Typedudocument">
    <w:name w:val="Type du document"/>
    <w:basedOn w:val="Normal"/>
    <w:next w:val="Titreobjet"/>
    <w:rsid w:val="009B7138"/>
    <w:pPr>
      <w:spacing w:before="360" w:after="0"/>
      <w:jc w:val="center"/>
    </w:pPr>
    <w:rPr>
      <w:b/>
    </w:rPr>
  </w:style>
  <w:style w:type="character" w:customStyle="1" w:styleId="Added">
    <w:name w:val="Added"/>
    <w:basedOn w:val="DefaultParagraphFont"/>
    <w:rsid w:val="009B7138"/>
    <w:rPr>
      <w:b/>
      <w:u w:val="single"/>
      <w:shd w:val="clear" w:color="auto" w:fill="auto"/>
    </w:rPr>
  </w:style>
  <w:style w:type="character" w:customStyle="1" w:styleId="Deleted">
    <w:name w:val="Deleted"/>
    <w:basedOn w:val="DefaultParagraphFont"/>
    <w:rsid w:val="009B7138"/>
    <w:rPr>
      <w:strike/>
      <w:dstrike w:val="0"/>
      <w:shd w:val="clear" w:color="auto" w:fill="auto"/>
    </w:rPr>
  </w:style>
  <w:style w:type="paragraph" w:customStyle="1" w:styleId="Address">
    <w:name w:val="Address"/>
    <w:basedOn w:val="Normal"/>
    <w:next w:val="Normal"/>
    <w:rsid w:val="009B7138"/>
    <w:pPr>
      <w:keepLines/>
      <w:spacing w:line="360" w:lineRule="auto"/>
      <w:ind w:left="3402"/>
      <w:jc w:val="left"/>
    </w:pPr>
  </w:style>
  <w:style w:type="paragraph" w:customStyle="1" w:styleId="Objetexterne">
    <w:name w:val="Objet externe"/>
    <w:basedOn w:val="Normal"/>
    <w:next w:val="Normal"/>
    <w:rsid w:val="009B7138"/>
    <w:rPr>
      <w:i/>
      <w:caps/>
    </w:rPr>
  </w:style>
  <w:style w:type="paragraph" w:customStyle="1" w:styleId="Supertitre">
    <w:name w:val="Supertitre"/>
    <w:basedOn w:val="Normal"/>
    <w:next w:val="Normal"/>
    <w:rsid w:val="009B7138"/>
    <w:pPr>
      <w:spacing w:before="0" w:after="600"/>
      <w:jc w:val="center"/>
    </w:pPr>
    <w:rPr>
      <w:b/>
    </w:rPr>
  </w:style>
  <w:style w:type="paragraph" w:customStyle="1" w:styleId="Languesfaisantfoi">
    <w:name w:val="Langues faisant foi"/>
    <w:basedOn w:val="Normal"/>
    <w:next w:val="Normal"/>
    <w:rsid w:val="009B7138"/>
    <w:pPr>
      <w:spacing w:before="360" w:after="0"/>
      <w:jc w:val="center"/>
    </w:pPr>
  </w:style>
  <w:style w:type="paragraph" w:customStyle="1" w:styleId="Rfrencecroise">
    <w:name w:val="Référence croisée"/>
    <w:basedOn w:val="Normal"/>
    <w:rsid w:val="009B7138"/>
    <w:pPr>
      <w:spacing w:before="0" w:after="0"/>
      <w:jc w:val="center"/>
    </w:pPr>
  </w:style>
  <w:style w:type="paragraph" w:customStyle="1" w:styleId="Fichefinanciretitre">
    <w:name w:val="Fiche financière titre"/>
    <w:basedOn w:val="Normal"/>
    <w:next w:val="Normal"/>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
    <w:next w:val="Confidentialit"/>
    <w:rsid w:val="009B7138"/>
    <w:pPr>
      <w:spacing w:before="0" w:after="240"/>
      <w:ind w:left="5103"/>
      <w:jc w:val="left"/>
    </w:pPr>
  </w:style>
  <w:style w:type="paragraph" w:customStyle="1" w:styleId="IntrtEEE">
    <w:name w:val="Intérêt EEE"/>
    <w:basedOn w:val="Languesfaisantfoi"/>
    <w:next w:val="Normal"/>
    <w:rsid w:val="009B7138"/>
    <w:pPr>
      <w:spacing w:after="240"/>
    </w:pPr>
  </w:style>
  <w:style w:type="paragraph" w:customStyle="1" w:styleId="Accompagnant">
    <w:name w:val="Accompagnant"/>
    <w:basedOn w:val="Normal"/>
    <w:next w:val="Typeacteprincipal"/>
    <w:rsid w:val="009B7138"/>
    <w:pPr>
      <w:spacing w:before="0" w:after="240"/>
      <w:jc w:val="center"/>
    </w:pPr>
    <w:rPr>
      <w:b/>
      <w:i/>
    </w:rPr>
  </w:style>
  <w:style w:type="paragraph" w:customStyle="1" w:styleId="Typeacteprincipal">
    <w:name w:val="Type acte principal"/>
    <w:basedOn w:val="Normal"/>
    <w:next w:val="Objetacteprincipal"/>
    <w:rsid w:val="009B7138"/>
    <w:pPr>
      <w:spacing w:before="0" w:after="240"/>
      <w:jc w:val="center"/>
    </w:pPr>
    <w:rPr>
      <w:b/>
    </w:rPr>
  </w:style>
  <w:style w:type="paragraph" w:customStyle="1" w:styleId="Objetacteprincipal">
    <w:name w:val="Objet acte principal"/>
    <w:basedOn w:val="Normal"/>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
    <w:next w:val="Normal"/>
    <w:rsid w:val="009B7138"/>
    <w:pPr>
      <w:spacing w:before="360" w:after="0"/>
      <w:jc w:val="center"/>
    </w:pPr>
  </w:style>
  <w:style w:type="paragraph" w:customStyle="1" w:styleId="TechnicalBlock">
    <w:name w:val="Technical Block"/>
    <w:basedOn w:val="Normal"/>
    <w:link w:val="TechnicalBlockChar"/>
    <w:rsid w:val="00AF5CBC"/>
    <w:pPr>
      <w:spacing w:before="0" w:after="240"/>
      <w:jc w:val="center"/>
    </w:pPr>
  </w:style>
  <w:style w:type="character" w:customStyle="1" w:styleId="TechnicalBlockChar">
    <w:name w:val="Technical Block Char"/>
    <w:basedOn w:val="DefaultParagraphFont"/>
    <w:link w:val="TechnicalBlock"/>
    <w:rsid w:val="00AF5CBC"/>
    <w:rPr>
      <w:rFonts w:ascii="Times New Roman" w:hAnsi="Times New Roman" w:cs="Times New Roman"/>
      <w:sz w:val="24"/>
      <w:lang w:val="en-GB"/>
    </w:rPr>
  </w:style>
  <w:style w:type="paragraph" w:customStyle="1" w:styleId="Lignefinal">
    <w:name w:val="Ligne final"/>
    <w:basedOn w:val="Normal"/>
    <w:next w:val="Normal"/>
    <w:rsid w:val="00AF5CBC"/>
    <w:pPr>
      <w:pBdr>
        <w:bottom w:val="single" w:sz="4" w:space="0" w:color="000000"/>
      </w:pBdr>
      <w:spacing w:before="360" w:line="360" w:lineRule="auto"/>
      <w:ind w:left="3400" w:right="3400"/>
      <w:jc w:val="center"/>
    </w:pPr>
    <w:rPr>
      <w:b/>
    </w:rPr>
  </w:style>
  <w:style w:type="paragraph" w:customStyle="1" w:styleId="EntText">
    <w:name w:val="EntText"/>
    <w:basedOn w:val="Normal"/>
    <w:rsid w:val="00AF5CBC"/>
    <w:pPr>
      <w:spacing w:line="360" w:lineRule="auto"/>
      <w:jc w:val="left"/>
    </w:pPr>
  </w:style>
  <w:style w:type="paragraph" w:customStyle="1" w:styleId="pj">
    <w:name w:val="p.j."/>
    <w:basedOn w:val="Normal"/>
    <w:link w:val="pjChar"/>
    <w:rsid w:val="00AF5CBC"/>
    <w:pPr>
      <w:spacing w:before="1200"/>
      <w:ind w:left="1440" w:hanging="1440"/>
      <w:jc w:val="left"/>
    </w:pPr>
  </w:style>
  <w:style w:type="character" w:customStyle="1" w:styleId="pjChar">
    <w:name w:val="p.j. Char"/>
    <w:basedOn w:val="TechnicalBlockChar"/>
    <w:link w:val="pj"/>
    <w:rsid w:val="00AF5CBC"/>
    <w:rPr>
      <w:rFonts w:ascii="Times New Roman" w:hAnsi="Times New Roman" w:cs="Times New Roman"/>
      <w:sz w:val="24"/>
      <w:lang w:val="en-GB"/>
    </w:rPr>
  </w:style>
  <w:style w:type="paragraph" w:customStyle="1" w:styleId="nbbordered">
    <w:name w:val="nb bordered"/>
    <w:basedOn w:val="Normal"/>
    <w:link w:val="nbborderedChar"/>
    <w:rsid w:val="00AF5CBC"/>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AF5CBC"/>
    <w:rPr>
      <w:rFonts w:ascii="Times New Roman" w:hAnsi="Times New Roman" w:cs="Times New Roman"/>
      <w:b/>
      <w:sz w:val="24"/>
      <w:lang w:val="en-GB"/>
    </w:rPr>
  </w:style>
  <w:style w:type="paragraph" w:customStyle="1" w:styleId="HeaderCouncil">
    <w:name w:val="Header Council"/>
    <w:basedOn w:val="Normal"/>
    <w:link w:val="HeaderCouncilChar"/>
    <w:rsid w:val="00AF5CBC"/>
    <w:pPr>
      <w:spacing w:before="0" w:after="0"/>
    </w:pPr>
    <w:rPr>
      <w:sz w:val="2"/>
    </w:rPr>
  </w:style>
  <w:style w:type="character" w:customStyle="1" w:styleId="HeaderCouncilChar">
    <w:name w:val="Header Council Char"/>
    <w:basedOn w:val="DefaultParagraphFont"/>
    <w:link w:val="HeaderCouncil"/>
    <w:rsid w:val="00AF5CBC"/>
    <w:rPr>
      <w:rFonts w:ascii="Times New Roman" w:hAnsi="Times New Roman" w:cs="Times New Roman"/>
      <w:sz w:val="2"/>
      <w:lang w:val="en-GB"/>
    </w:rPr>
  </w:style>
  <w:style w:type="paragraph" w:customStyle="1" w:styleId="HeaderCouncilLarge">
    <w:name w:val="Header Council Large"/>
    <w:basedOn w:val="Normal"/>
    <w:link w:val="HeaderCouncilLargeChar"/>
    <w:rsid w:val="00AF5CBC"/>
    <w:pPr>
      <w:spacing w:before="0" w:after="440"/>
    </w:pPr>
    <w:rPr>
      <w:sz w:val="2"/>
    </w:rPr>
  </w:style>
  <w:style w:type="character" w:customStyle="1" w:styleId="HeaderCouncilLargeChar">
    <w:name w:val="Header Council Large Char"/>
    <w:basedOn w:val="DefaultParagraphFont"/>
    <w:link w:val="HeaderCouncilLarge"/>
    <w:rsid w:val="00AF5CBC"/>
    <w:rPr>
      <w:rFonts w:ascii="Times New Roman" w:hAnsi="Times New Roman" w:cs="Times New Roman"/>
      <w:sz w:val="2"/>
      <w:lang w:val="en-GB"/>
    </w:rPr>
  </w:style>
  <w:style w:type="paragraph" w:customStyle="1" w:styleId="FooterCouncil">
    <w:name w:val="Footer Council"/>
    <w:basedOn w:val="Normal"/>
    <w:link w:val="FooterCouncilChar"/>
    <w:rsid w:val="00AF5CBC"/>
    <w:pPr>
      <w:spacing w:before="0" w:after="0"/>
    </w:pPr>
    <w:rPr>
      <w:sz w:val="2"/>
    </w:rPr>
  </w:style>
  <w:style w:type="character" w:customStyle="1" w:styleId="FooterCouncilChar">
    <w:name w:val="Footer Council Char"/>
    <w:basedOn w:val="DefaultParagraphFont"/>
    <w:link w:val="FooterCouncil"/>
    <w:rsid w:val="00AF5CBC"/>
    <w:rPr>
      <w:rFonts w:ascii="Times New Roman" w:hAnsi="Times New Roman" w:cs="Times New Roman"/>
      <w:sz w:val="2"/>
      <w:lang w:val="en-GB"/>
    </w:rPr>
  </w:style>
  <w:style w:type="paragraph" w:customStyle="1" w:styleId="FooterText">
    <w:name w:val="Footer Text"/>
    <w:basedOn w:val="Normal"/>
    <w:rsid w:val="00AF5CBC"/>
    <w:pPr>
      <w:spacing w:before="0" w:after="0"/>
      <w:jc w:val="left"/>
    </w:pPr>
    <w:rPr>
      <w:rFonts w:eastAsia="Times New Roman"/>
      <w:szCs w:val="24"/>
    </w:rPr>
  </w:style>
  <w:style w:type="character" w:styleId="PlaceholderText">
    <w:name w:val="Placeholder Text"/>
    <w:basedOn w:val="DefaultParagraphFont"/>
    <w:uiPriority w:val="99"/>
    <w:semiHidden/>
    <w:rsid w:val="00AF5C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13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op.europa.eu/en/publication-detail/-/publication/dfa0c844-3b5f-11eb-b27b-01aa75ed71a1" TargetMode="External"/><Relationship Id="rId3" Type="http://schemas.openxmlformats.org/officeDocument/2006/relationships/hyperlink" Target="https://transport.ec.europa.eu/transport-themes/clean-transport-urban-transport/urban-mobility_en" TargetMode="External"/><Relationship Id="rId7" Type="http://schemas.openxmlformats.org/officeDocument/2006/relationships/hyperlink" Target="https://transport.ec.europa.eu/transport-themes/intelligent-transport-systems/road/action-plan-and-directive/national-access-points_en" TargetMode="External"/><Relationship Id="rId2" Type="http://schemas.openxmlformats.org/officeDocument/2006/relationships/hyperlink" Target="https://ec.europa.eu/info/strategy/priorities-2019-2024/europe-fit-digital-age_en" TargetMode="External"/><Relationship Id="rId1" Type="http://schemas.openxmlformats.org/officeDocument/2006/relationships/hyperlink" Target="https://publications.jrc.ec.europa.eu/repository/bitstream/JRC69961/congestion%20report%20final.pdf" TargetMode="External"/><Relationship Id="rId6" Type="http://schemas.openxmlformats.org/officeDocument/2006/relationships/hyperlink" Target="https://transport.ec.europa.eu/transport-themes/intelligent-transport-systems/road/action-plan-and-directive_en" TargetMode="External"/><Relationship Id="rId5" Type="http://schemas.openxmlformats.org/officeDocument/2006/relationships/hyperlink" Target="https://transport.ec.europa.eu/transport-themes/intelligent-transport-systems/road/action-plan-and-directive/its-national-reports_en" TargetMode="External"/><Relationship Id="rId4" Type="http://schemas.openxmlformats.org/officeDocument/2006/relationships/hyperlink" Target="https://ec.europa.eu/info/law/better-regulation/have-your-say/initiatives/12534-Intelligent-transport-systems-review-of-EU-rule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BC7F8A37D09943A25A2648088DB20F" ma:contentTypeVersion="0" ma:contentTypeDescription="Create a new document." ma:contentTypeScope="" ma:versionID="6f689c1653c512e387998d0ab422ab4a">
  <xsd:schema xmlns:xsd="http://www.w3.org/2001/XMLSchema" xmlns:xs="http://www.w3.org/2001/XMLSchema" xmlns:p="http://schemas.microsoft.com/office/2006/metadata/properties" targetNamespace="http://schemas.microsoft.com/office/2006/metadata/properties" ma:root="true" ma:fieldsID="6a2bb3c60970eff71f72cb75075ace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956C0-2B45-43A1-9AF7-8A21CC9E0D1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9FD0305-1A2A-4964-AF23-B2614E031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9B4F73-917A-42EF-B384-5FE9E6659347}">
  <ds:schemaRefs>
    <ds:schemaRef ds:uri="http://schemas.microsoft.com/sharepoint/v3/contenttype/forms"/>
  </ds:schemaRefs>
</ds:datastoreItem>
</file>

<file path=customXml/itemProps4.xml><?xml version="1.0" encoding="utf-8"?>
<ds:datastoreItem xmlns:ds="http://schemas.openxmlformats.org/officeDocument/2006/customXml" ds:itemID="{299A31E2-F34D-4FCA-9439-4CA02751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Pages>
  <Words>9784</Words>
  <Characters>55770</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CARABIN Gilles (MOVE)</dc:creator>
  <cp:keywords/>
  <dc:description/>
  <cp:lastModifiedBy>FACCI Carlo</cp:lastModifiedBy>
  <cp:revision>3</cp:revision>
  <dcterms:created xsi:type="dcterms:W3CDTF">2021-12-16T08:44:00Z</dcterms:created>
  <dcterms:modified xsi:type="dcterms:W3CDTF">2021-12-16T08:44:00Z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DocuWrite 4.6.2, Build 20211105</vt:lpwstr>
  </property>
  <property fmtid="{D5CDD505-2E9C-101B-9397-08002B2CF9AE}" pid="5" name="Created using">
    <vt:lpwstr>DocuWrite 4.6.2, Build 20211105</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ContentTypeId">
    <vt:lpwstr>0x01010039BC7F8A37D09943A25A2648088DB20F</vt:lpwstr>
  </property>
  <property fmtid="{D5CDD505-2E9C-101B-9397-08002B2CF9AE}" pid="11" name="IsMyDocuments">
    <vt:bool>true</vt:bool>
  </property>
  <property fmtid="{D5CDD505-2E9C-101B-9397-08002B2CF9AE}" pid="12" name="DQCStatus">
    <vt:lpwstr>Green (DQC version 03)</vt:lpwstr>
  </property>
</Properties>
</file>