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10CA" w14:textId="77777777" w:rsidR="009B6F3A" w:rsidRDefault="009B6F3A" w:rsidP="009B6F3A">
      <w:pPr>
        <w:pStyle w:val="TechnicalBlock"/>
        <w:ind w:left="-1134" w:right="-1134"/>
      </w:pPr>
      <w:bookmarkStart w:id="0" w:name="DW_BM_COVERPAGE"/>
      <w:r>
        <w:pict w14:anchorId="0F5DD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ocument Cover Page.&#10;Document Number: 15114/21 ADD 1.&#10;Subject Codes: TRANS 761 TELECOM 465 IND 390 CODEC 1671 DATAPROTECT 295 DIGIT 190.&#10;Heading: COVER NOTE.&#10;Originator: Secretary-General of the European Commission, signed by Ms Martine DEPREZ, Director.&#10;Recipient: Mr Jeppe TRANHOLM-MIKKELSEN, Secretary-General of the Council of the European Union.&#10;Subject: ANNEXES to the Proposal for a Directive of the European Parliament and of the Council amending Directive 2010/40/EU on the framework for the deployment of Intelligent Transport Systems in the field of road transport and for interfaces with other modes of transport.&#10;Commission Document Number: COM(2021) 813 final ANNEXES 1 to 4.&#10;Preceeding Document Number: Not Set.&#10;Location: Brussels.&#10;Date: 16 December 2021.&#10;Interinstitutional Files: Not Set.&#10;Institutional Framework: Council of the European Union.&#10;Language: EN.&#10;Distribution Code: PUBLIC.&#10;GUID: 5226949483365291820_0" style="width:568.65pt;height:439.75pt">
            <v:imagedata r:id="rId10" o:title=""/>
          </v:shape>
        </w:pict>
      </w:r>
      <w:bookmarkEnd w:id="0"/>
    </w:p>
    <w:p w14:paraId="17788020" w14:textId="6F7DA200" w:rsidR="009B6F3A" w:rsidRDefault="009B6F3A" w:rsidP="009B6F3A">
      <w:pPr>
        <w:pStyle w:val="EntText"/>
        <w:spacing w:before="480"/>
      </w:pPr>
      <w:r w:rsidRPr="009B6F3A">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9B6F3A">
        <w:instrText>COM(2021) 813 final ANNEXES 1 to 4</w:instrText>
      </w:r>
      <w:r>
        <w:instrText xml:space="preserve">" </w:instrText>
      </w:r>
      <w:r>
        <w:fldChar w:fldCharType="separate"/>
      </w:r>
      <w:r w:rsidRPr="009B6F3A">
        <w:t>COM(2021) 813 final ANNEXES 1 to 4</w:t>
      </w:r>
      <w:r>
        <w:fldChar w:fldCharType="end"/>
      </w:r>
      <w:r w:rsidRPr="009B6F3A">
        <w:t>.</w:t>
      </w:r>
    </w:p>
    <w:p w14:paraId="716D2B8F" w14:textId="77777777" w:rsidR="009B6F3A" w:rsidRDefault="009B6F3A" w:rsidP="009B6F3A">
      <w:pPr>
        <w:pStyle w:val="Lignefinal"/>
      </w:pPr>
    </w:p>
    <w:p w14:paraId="5B65C113" w14:textId="390C41C9" w:rsidR="009B6F3A" w:rsidRDefault="009B6F3A" w:rsidP="009B6F3A">
      <w:pPr>
        <w:pStyle w:val="pj"/>
        <w:spacing w:before="120"/>
      </w:pPr>
      <w:r w:rsidRPr="009B6F3A">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9B6F3A">
        <w:instrText>COM(2021) 813 final ANNEXES 1 to 4</w:instrText>
      </w:r>
      <w:r>
        <w:instrText xml:space="preserve">" </w:instrText>
      </w:r>
      <w:r>
        <w:fldChar w:fldCharType="separate"/>
      </w:r>
      <w:r w:rsidRPr="009B6F3A">
        <w:t>COM(2021) 813 final ANNEXES 1 to 4</w:t>
      </w:r>
      <w:r>
        <w:fldChar w:fldCharType="end"/>
      </w:r>
    </w:p>
    <w:p w14:paraId="661CEA63" w14:textId="77777777" w:rsidR="009B6F3A" w:rsidRDefault="009B6F3A" w:rsidP="009B6F3A">
      <w:pPr>
        <w:rPr>
          <w:noProof/>
        </w:rPr>
        <w:sectPr w:rsidR="009B6F3A" w:rsidSect="009B6F3A">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start="0"/>
          <w:cols w:space="720"/>
          <w:titlePg/>
          <w:docGrid w:linePitch="360"/>
        </w:sectPr>
      </w:pPr>
      <w:bookmarkStart w:id="2" w:name="_GoBack"/>
      <w:bookmarkEnd w:id="2"/>
    </w:p>
    <w:p w14:paraId="5474B94F" w14:textId="1EE8DAC1" w:rsidR="00B37414" w:rsidRDefault="009B6F3A" w:rsidP="004209E8">
      <w:pPr>
        <w:pStyle w:val="Pagedecouverture"/>
        <w:rPr>
          <w:noProof/>
        </w:rPr>
      </w:pPr>
      <w:r>
        <w:rPr>
          <w:noProof/>
        </w:rPr>
        <w:pict w14:anchorId="0FDF4EDB">
          <v:shape id="_x0000_i1025" type="#_x0000_t75" alt="79F35633-BF41-49DE-8FAA-7355134952F1" style="width:455.25pt;height:414.2pt">
            <v:imagedata r:id="rId17" o:title=""/>
          </v:shape>
        </w:pict>
      </w:r>
    </w:p>
    <w:p w14:paraId="1CF5E95D" w14:textId="77777777" w:rsidR="00B37414" w:rsidRDefault="00B37414" w:rsidP="00B37414">
      <w:pPr>
        <w:rPr>
          <w:noProof/>
        </w:rPr>
        <w:sectPr w:rsidR="00B37414" w:rsidSect="004209E8">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pgNumType w:start="0"/>
          <w:cols w:space="720"/>
          <w:docGrid w:linePitch="360"/>
        </w:sectPr>
      </w:pPr>
    </w:p>
    <w:p w14:paraId="21064A36" w14:textId="6E5048D6" w:rsidR="00B37414" w:rsidRDefault="00B37414" w:rsidP="00B37414">
      <w:pPr>
        <w:pStyle w:val="Annexetitre"/>
        <w:rPr>
          <w:noProof/>
        </w:rPr>
      </w:pPr>
      <w:r w:rsidRPr="0050709C">
        <w:rPr>
          <w:noProof/>
          <w:color w:val="000000" w:themeColor="text1"/>
          <w:u w:val="none"/>
        </w:rPr>
        <w:lastRenderedPageBreak/>
        <w:t xml:space="preserve">ANNEX </w:t>
      </w:r>
      <w:r w:rsidR="00216D97" w:rsidRPr="00582AFB">
        <w:rPr>
          <w:noProof/>
          <w:u w:val="none"/>
        </w:rPr>
        <w:t>I</w:t>
      </w:r>
    </w:p>
    <w:p w14:paraId="0959C0A7" w14:textId="77777777" w:rsidR="007F65E5" w:rsidRPr="007E6103" w:rsidRDefault="007F65E5" w:rsidP="007E6103">
      <w:pPr>
        <w:jc w:val="center"/>
        <w:rPr>
          <w:b/>
          <w:noProof/>
        </w:rPr>
      </w:pPr>
      <w:r w:rsidRPr="007E6103">
        <w:rPr>
          <w:b/>
          <w:noProof/>
        </w:rPr>
        <w:t>PRIORITY AREAS</w:t>
      </w:r>
    </w:p>
    <w:p w14:paraId="534081A3" w14:textId="77777777" w:rsidR="007F65E5" w:rsidRPr="007E6103" w:rsidRDefault="007F65E5" w:rsidP="007E6103">
      <w:pPr>
        <w:jc w:val="center"/>
        <w:rPr>
          <w:b/>
          <w:noProof/>
        </w:rPr>
      </w:pPr>
      <w:r w:rsidRPr="007E6103">
        <w:rPr>
          <w:b/>
          <w:noProof/>
        </w:rPr>
        <w:t>(as referred to in Article 2)</w:t>
      </w:r>
    </w:p>
    <w:p w14:paraId="6CBA222E" w14:textId="77777777" w:rsidR="00B37414" w:rsidRPr="007E6103" w:rsidRDefault="00B37414" w:rsidP="007E6103">
      <w:pPr>
        <w:jc w:val="center"/>
        <w:rPr>
          <w:b/>
          <w:noProof/>
        </w:rPr>
      </w:pPr>
    </w:p>
    <w:p w14:paraId="3BBE21FE" w14:textId="6B1A3B69" w:rsidR="007F65E5" w:rsidRPr="001F39E5" w:rsidRDefault="007F65E5" w:rsidP="005546A2">
      <w:pPr>
        <w:pStyle w:val="NumPar1"/>
        <w:numPr>
          <w:ilvl w:val="0"/>
          <w:numId w:val="10"/>
        </w:numPr>
        <w:rPr>
          <w:noProof/>
        </w:rPr>
      </w:pPr>
      <w:r w:rsidRPr="006A68D6">
        <w:rPr>
          <w:noProof/>
        </w:rPr>
        <w:t xml:space="preserve">Priority area I: </w:t>
      </w:r>
      <w:r w:rsidR="00B52276">
        <w:rPr>
          <w:noProof/>
        </w:rPr>
        <w:t>I</w:t>
      </w:r>
      <w:r w:rsidR="003F6ECB">
        <w:rPr>
          <w:noProof/>
        </w:rPr>
        <w:t>nformation</w:t>
      </w:r>
      <w:r w:rsidR="00C076CD">
        <w:rPr>
          <w:noProof/>
        </w:rPr>
        <w:t xml:space="preserve"> and mobility</w:t>
      </w:r>
      <w:r w:rsidRPr="001F39E5">
        <w:rPr>
          <w:noProof/>
        </w:rPr>
        <w:t xml:space="preserve"> </w:t>
      </w:r>
      <w:r w:rsidR="00B52276">
        <w:rPr>
          <w:noProof/>
        </w:rPr>
        <w:t xml:space="preserve">ITS </w:t>
      </w:r>
      <w:r w:rsidRPr="001F39E5">
        <w:rPr>
          <w:noProof/>
        </w:rPr>
        <w:t>services</w:t>
      </w:r>
    </w:p>
    <w:p w14:paraId="082ADAAE" w14:textId="3643118C" w:rsidR="007F65E5" w:rsidRPr="001F39E5" w:rsidRDefault="007F65E5" w:rsidP="007F65E5">
      <w:pPr>
        <w:rPr>
          <w:noProof/>
        </w:rPr>
      </w:pPr>
      <w:r w:rsidRPr="001F39E5">
        <w:rPr>
          <w:noProof/>
        </w:rPr>
        <w:t xml:space="preserve">The specifications and standards for information and </w:t>
      </w:r>
      <w:r w:rsidR="006D1A09">
        <w:rPr>
          <w:noProof/>
        </w:rPr>
        <w:t>mobility</w:t>
      </w:r>
      <w:r w:rsidR="006D1A09" w:rsidRPr="001F39E5">
        <w:rPr>
          <w:noProof/>
        </w:rPr>
        <w:t xml:space="preserve"> </w:t>
      </w:r>
      <w:r w:rsidR="006F146D">
        <w:rPr>
          <w:noProof/>
        </w:rPr>
        <w:t xml:space="preserve">ITS </w:t>
      </w:r>
      <w:r w:rsidR="00156B36" w:rsidRPr="001F39E5">
        <w:rPr>
          <w:noProof/>
        </w:rPr>
        <w:t>s</w:t>
      </w:r>
      <w:r w:rsidRPr="001F39E5">
        <w:rPr>
          <w:noProof/>
        </w:rPr>
        <w:t xml:space="preserve">ervices </w:t>
      </w:r>
      <w:r w:rsidR="00156B36" w:rsidRPr="001F39E5">
        <w:rPr>
          <w:noProof/>
        </w:rPr>
        <w:t xml:space="preserve">for passengers </w:t>
      </w:r>
      <w:r w:rsidRPr="001F39E5">
        <w:rPr>
          <w:noProof/>
        </w:rPr>
        <w:t>shall include the following:</w:t>
      </w:r>
    </w:p>
    <w:p w14:paraId="6F13EAAC" w14:textId="460501EC" w:rsidR="007F65E5" w:rsidRPr="001F39E5" w:rsidRDefault="005E001D" w:rsidP="00582AFB">
      <w:pPr>
        <w:pStyle w:val="NumPar2"/>
        <w:rPr>
          <w:noProof/>
        </w:rPr>
      </w:pPr>
      <w:r w:rsidRPr="001F39E5">
        <w:rPr>
          <w:noProof/>
        </w:rPr>
        <w:t>Specifications for</w:t>
      </w:r>
      <w:r w:rsidR="007F65E5" w:rsidRPr="001F39E5">
        <w:rPr>
          <w:noProof/>
        </w:rPr>
        <w:t xml:space="preserve"> EU-wide multimodal digital mobility services (including EU-wide multimodal travel information services)</w:t>
      </w:r>
    </w:p>
    <w:p w14:paraId="6A1EC1CB" w14:textId="242E45CB" w:rsidR="007F65E5" w:rsidRPr="001F39E5" w:rsidRDefault="007F65E5" w:rsidP="007F65E5">
      <w:pPr>
        <w:rPr>
          <w:noProof/>
        </w:rPr>
      </w:pPr>
      <w:r w:rsidRPr="001F39E5">
        <w:rPr>
          <w:noProof/>
        </w:rPr>
        <w:t xml:space="preserve">The definition of the necessary requirements to make EU-wide multimodal digital mobility services </w:t>
      </w:r>
      <w:r w:rsidR="00C65DF9" w:rsidRPr="00C65DF9">
        <w:rPr>
          <w:noProof/>
        </w:rPr>
        <w:t xml:space="preserve">and </w:t>
      </w:r>
      <w:r w:rsidR="005C35BD">
        <w:rPr>
          <w:noProof/>
        </w:rPr>
        <w:t xml:space="preserve">similar </w:t>
      </w:r>
      <w:r w:rsidR="00C65DF9" w:rsidRPr="00C65DF9">
        <w:rPr>
          <w:noProof/>
        </w:rPr>
        <w:t>services providing information</w:t>
      </w:r>
      <w:r w:rsidR="005C35BD">
        <w:rPr>
          <w:noProof/>
        </w:rPr>
        <w:t>, booking or purchasing features</w:t>
      </w:r>
      <w:r w:rsidR="00C65DF9" w:rsidRPr="00C65DF9">
        <w:rPr>
          <w:noProof/>
        </w:rPr>
        <w:t xml:space="preserve"> </w:t>
      </w:r>
      <w:r w:rsidR="005C35BD">
        <w:rPr>
          <w:noProof/>
        </w:rPr>
        <w:t>for</w:t>
      </w:r>
      <w:r w:rsidR="00C65DF9" w:rsidRPr="00C65DF9">
        <w:rPr>
          <w:noProof/>
        </w:rPr>
        <w:t xml:space="preserve"> more than one transport </w:t>
      </w:r>
      <w:r w:rsidR="005C35BD">
        <w:rPr>
          <w:noProof/>
        </w:rPr>
        <w:t>operator</w:t>
      </w:r>
      <w:r w:rsidR="00C65DF9" w:rsidRPr="00C65DF9">
        <w:rPr>
          <w:noProof/>
        </w:rPr>
        <w:t xml:space="preserve"> within the same mode of transport </w:t>
      </w:r>
      <w:r w:rsidRPr="001F39E5">
        <w:rPr>
          <w:noProof/>
        </w:rPr>
        <w:t>accurate and available across borders to ITS users, based on:</w:t>
      </w:r>
    </w:p>
    <w:p w14:paraId="38FD6595" w14:textId="72080CB4" w:rsidR="007F65E5" w:rsidRPr="001F39E5" w:rsidRDefault="007F65E5" w:rsidP="00582AFB">
      <w:pPr>
        <w:pStyle w:val="NumPar3"/>
        <w:rPr>
          <w:noProof/>
        </w:rPr>
      </w:pPr>
      <w:r w:rsidRPr="001F39E5">
        <w:rPr>
          <w:noProof/>
        </w:rPr>
        <w:t xml:space="preserve">the availability and accessibility of existing and accurate multimodal traffic and travel data, used for multimodal </w:t>
      </w:r>
      <w:r w:rsidR="00C076CD">
        <w:rPr>
          <w:noProof/>
        </w:rPr>
        <w:t>digital mobility services</w:t>
      </w:r>
      <w:r w:rsidRPr="001F39E5">
        <w:rPr>
          <w:noProof/>
        </w:rPr>
        <w:t xml:space="preserve"> to ITS service providers without prejudice to safety and transport management constraints</w:t>
      </w:r>
      <w:r w:rsidR="00114924">
        <w:rPr>
          <w:noProof/>
        </w:rPr>
        <w:t>;</w:t>
      </w:r>
    </w:p>
    <w:p w14:paraId="6C2EE0FD" w14:textId="39DC3CF1" w:rsidR="007F65E5" w:rsidRPr="001F39E5" w:rsidRDefault="007F65E5" w:rsidP="00582AFB">
      <w:pPr>
        <w:pStyle w:val="NumPar3"/>
        <w:rPr>
          <w:noProof/>
        </w:rPr>
      </w:pPr>
      <w:r w:rsidRPr="001F39E5">
        <w:rPr>
          <w:noProof/>
        </w:rPr>
        <w:t>the facilitation of the electronic data exchange between the relevant public authorities and stakeholders and the relevant ITS service providers, across borders, in particular through standardised interfaces</w:t>
      </w:r>
      <w:r w:rsidR="00114924">
        <w:rPr>
          <w:noProof/>
        </w:rPr>
        <w:t>;</w:t>
      </w:r>
    </w:p>
    <w:p w14:paraId="5D7A3E46" w14:textId="0458853F" w:rsidR="007F65E5" w:rsidRPr="001F39E5" w:rsidRDefault="007F65E5" w:rsidP="00582AFB">
      <w:pPr>
        <w:pStyle w:val="NumPar3"/>
        <w:rPr>
          <w:noProof/>
        </w:rPr>
      </w:pPr>
      <w:r w:rsidRPr="001F39E5">
        <w:rPr>
          <w:noProof/>
        </w:rPr>
        <w:t xml:space="preserve">the timely updating </w:t>
      </w:r>
      <w:r w:rsidR="00E103E4" w:rsidRPr="001F39E5">
        <w:rPr>
          <w:noProof/>
        </w:rPr>
        <w:t xml:space="preserve">by the relevant public authorities and stakeholders </w:t>
      </w:r>
      <w:r w:rsidRPr="001F39E5">
        <w:rPr>
          <w:noProof/>
        </w:rPr>
        <w:t>of available multimodal traffic and travel data</w:t>
      </w:r>
      <w:r w:rsidR="00E103E4">
        <w:rPr>
          <w:noProof/>
        </w:rPr>
        <w:t>,</w:t>
      </w:r>
      <w:r w:rsidRPr="001F39E5">
        <w:rPr>
          <w:noProof/>
        </w:rPr>
        <w:t xml:space="preserve"> used for multimodal </w:t>
      </w:r>
      <w:r w:rsidR="00E103E4">
        <w:rPr>
          <w:noProof/>
        </w:rPr>
        <w:t>digital mobility services</w:t>
      </w:r>
      <w:r w:rsidR="00114924">
        <w:rPr>
          <w:noProof/>
        </w:rPr>
        <w:t>;</w:t>
      </w:r>
    </w:p>
    <w:p w14:paraId="35B3E0B7" w14:textId="3A715F7C" w:rsidR="007F65E5" w:rsidRPr="006A68D6" w:rsidRDefault="007F65E5" w:rsidP="00582AFB">
      <w:pPr>
        <w:pStyle w:val="NumPar3"/>
        <w:rPr>
          <w:noProof/>
        </w:rPr>
      </w:pPr>
      <w:r w:rsidRPr="001F39E5">
        <w:rPr>
          <w:noProof/>
        </w:rPr>
        <w:t>the timely updating of multimodal travel information</w:t>
      </w:r>
      <w:r w:rsidR="00156B36" w:rsidRPr="001F39E5">
        <w:rPr>
          <w:noProof/>
        </w:rPr>
        <w:t xml:space="preserve">, </w:t>
      </w:r>
      <w:r w:rsidR="00376C63">
        <w:rPr>
          <w:noProof/>
        </w:rPr>
        <w:t xml:space="preserve">including information related to booking and purchasing of transport </w:t>
      </w:r>
      <w:r w:rsidR="00844777">
        <w:rPr>
          <w:noProof/>
        </w:rPr>
        <w:t>services</w:t>
      </w:r>
      <w:r w:rsidR="0094502B">
        <w:rPr>
          <w:noProof/>
        </w:rPr>
        <w:t>,</w:t>
      </w:r>
      <w:r w:rsidR="00844777">
        <w:rPr>
          <w:noProof/>
        </w:rPr>
        <w:t xml:space="preserve"> </w:t>
      </w:r>
      <w:r w:rsidRPr="006A68D6">
        <w:rPr>
          <w:noProof/>
        </w:rPr>
        <w:t>by the ITS service providers.</w:t>
      </w:r>
    </w:p>
    <w:p w14:paraId="50C0ABCA" w14:textId="1E3BE41D" w:rsidR="007F65E5" w:rsidRPr="006A68D6" w:rsidRDefault="005E001D" w:rsidP="00582AFB">
      <w:pPr>
        <w:pStyle w:val="NumPar2"/>
        <w:rPr>
          <w:noProof/>
        </w:rPr>
      </w:pPr>
      <w:r>
        <w:rPr>
          <w:noProof/>
        </w:rPr>
        <w:t>Specifications</w:t>
      </w:r>
      <w:r w:rsidR="007F65E5" w:rsidRPr="006A68D6">
        <w:rPr>
          <w:noProof/>
        </w:rPr>
        <w:t xml:space="preserve"> </w:t>
      </w:r>
      <w:r w:rsidR="005A1D00">
        <w:rPr>
          <w:noProof/>
        </w:rPr>
        <w:t xml:space="preserve">for </w:t>
      </w:r>
      <w:r w:rsidR="007F65E5" w:rsidRPr="006A68D6">
        <w:rPr>
          <w:noProof/>
        </w:rPr>
        <w:t>EU-wide road traffic information and navigation services (including EU-wide real-time traffic information services)</w:t>
      </w:r>
    </w:p>
    <w:p w14:paraId="0A8B4006" w14:textId="77777777" w:rsidR="007F65E5" w:rsidRPr="006A68D6" w:rsidRDefault="007F65E5" w:rsidP="007F65E5">
      <w:pPr>
        <w:rPr>
          <w:noProof/>
        </w:rPr>
      </w:pPr>
      <w:r w:rsidRPr="006A68D6">
        <w:rPr>
          <w:noProof/>
        </w:rPr>
        <w:t>The definition of the necessary requirements to make EU-wide road traffic information and navigation services accurate and available across borders to ITS users, based on:</w:t>
      </w:r>
    </w:p>
    <w:p w14:paraId="1B23DF47" w14:textId="4938D2CD" w:rsidR="007F65E5" w:rsidRPr="001F39E5" w:rsidRDefault="007F65E5" w:rsidP="003135CE">
      <w:pPr>
        <w:pStyle w:val="NumPar3"/>
        <w:rPr>
          <w:noProof/>
        </w:rPr>
      </w:pPr>
      <w:r w:rsidRPr="006A68D6">
        <w:rPr>
          <w:noProof/>
        </w:rPr>
        <w:t>the availability and accessibility of</w:t>
      </w:r>
      <w:r w:rsidR="005E001D">
        <w:rPr>
          <w:noProof/>
        </w:rPr>
        <w:t xml:space="preserve"> existing and accurate road and</w:t>
      </w:r>
      <w:r w:rsidRPr="006A68D6">
        <w:rPr>
          <w:noProof/>
        </w:rPr>
        <w:t xml:space="preserve"> traffic data, including real-time data, used for real-time traffic information to ITS service providers </w:t>
      </w:r>
      <w:r w:rsidR="0064756B" w:rsidRPr="001F39E5">
        <w:rPr>
          <w:noProof/>
        </w:rPr>
        <w:t xml:space="preserve">and other relevant stakeholders, </w:t>
      </w:r>
      <w:r w:rsidRPr="001F39E5">
        <w:rPr>
          <w:noProof/>
        </w:rPr>
        <w:t>and for use in digital maps, without prejudice to safety and transport management constraints</w:t>
      </w:r>
      <w:r w:rsidR="00844777">
        <w:rPr>
          <w:noProof/>
        </w:rPr>
        <w:t>;</w:t>
      </w:r>
    </w:p>
    <w:p w14:paraId="4A396A01" w14:textId="0A0451E2" w:rsidR="007F65E5" w:rsidRPr="001F39E5" w:rsidRDefault="007F65E5" w:rsidP="00582AFB">
      <w:pPr>
        <w:pStyle w:val="NumPar3"/>
        <w:rPr>
          <w:noProof/>
        </w:rPr>
      </w:pPr>
      <w:r w:rsidRPr="001F39E5">
        <w:rPr>
          <w:noProof/>
        </w:rPr>
        <w:t>the facilitation of the electronic data exchange between the relevant public authorities, stakeholders and the relevant ITS service providers, across borders, including feedback on quality of data</w:t>
      </w:r>
      <w:r w:rsidR="00844777">
        <w:rPr>
          <w:noProof/>
        </w:rPr>
        <w:t>;</w:t>
      </w:r>
    </w:p>
    <w:p w14:paraId="17A47F95" w14:textId="62C60A44" w:rsidR="007F65E5" w:rsidRPr="001F39E5" w:rsidRDefault="007F65E5" w:rsidP="00582AFB">
      <w:pPr>
        <w:pStyle w:val="NumPar3"/>
        <w:rPr>
          <w:noProof/>
        </w:rPr>
      </w:pPr>
      <w:r w:rsidRPr="001F39E5">
        <w:rPr>
          <w:noProof/>
        </w:rPr>
        <w:t>the timely updating of available road and traffic data used for real-time traffic information by the relevant public authorities and stakeholders</w:t>
      </w:r>
      <w:r w:rsidR="00844777">
        <w:rPr>
          <w:noProof/>
        </w:rPr>
        <w:t>;</w:t>
      </w:r>
    </w:p>
    <w:p w14:paraId="1CBF3B17" w14:textId="77777777" w:rsidR="007F65E5" w:rsidRPr="006A68D6" w:rsidRDefault="007F65E5" w:rsidP="00582AFB">
      <w:pPr>
        <w:pStyle w:val="NumPar3"/>
        <w:rPr>
          <w:noProof/>
        </w:rPr>
      </w:pPr>
      <w:r w:rsidRPr="001F39E5">
        <w:rPr>
          <w:noProof/>
        </w:rPr>
        <w:t xml:space="preserve">the timely updating of real-time traffic information to road users </w:t>
      </w:r>
      <w:r w:rsidR="0064756B" w:rsidRPr="001F39E5">
        <w:rPr>
          <w:noProof/>
        </w:rPr>
        <w:t xml:space="preserve">and other relevant stakeholders </w:t>
      </w:r>
      <w:r w:rsidRPr="001F39E5">
        <w:rPr>
          <w:noProof/>
        </w:rPr>
        <w:t>by the ITS</w:t>
      </w:r>
      <w:r w:rsidRPr="006A68D6">
        <w:rPr>
          <w:noProof/>
        </w:rPr>
        <w:t xml:space="preserve"> service providers.</w:t>
      </w:r>
    </w:p>
    <w:p w14:paraId="6F4AB187" w14:textId="396BB420" w:rsidR="007F65E5" w:rsidRPr="006A68D6" w:rsidRDefault="007F65E5" w:rsidP="00582AFB">
      <w:pPr>
        <w:pStyle w:val="NumPar2"/>
        <w:rPr>
          <w:noProof/>
        </w:rPr>
      </w:pPr>
      <w:r w:rsidRPr="006A68D6">
        <w:rPr>
          <w:noProof/>
        </w:rPr>
        <w:t>Specifications for EU-wide multimodal digital mobility services and road traffic information and navigation services</w:t>
      </w:r>
      <w:r w:rsidRPr="006A68D6" w:rsidDel="00AC3BA9">
        <w:rPr>
          <w:noProof/>
        </w:rPr>
        <w:t xml:space="preserve"> </w:t>
      </w:r>
    </w:p>
    <w:p w14:paraId="1F896F85" w14:textId="74FD7CEE" w:rsidR="007F65E5" w:rsidRPr="006A68D6" w:rsidRDefault="007F65E5" w:rsidP="003135CE">
      <w:pPr>
        <w:pStyle w:val="NumPar3"/>
        <w:rPr>
          <w:noProof/>
        </w:rPr>
      </w:pPr>
      <w:r w:rsidRPr="006A68D6">
        <w:rPr>
          <w:noProof/>
        </w:rPr>
        <w:t>The definition of the necessary requirements for the collection by relevant public authorities and/or, where relevant, by the private sector of road and traffic data (i.e. traffic circulation plans, traffic regulations and recommended routes, notably for heavy goods vehicles) and for their provisioning to ITS service providers, based on:</w:t>
      </w:r>
    </w:p>
    <w:p w14:paraId="7688154F" w14:textId="081319A8" w:rsidR="007F65E5" w:rsidRPr="00315FEC" w:rsidRDefault="007F65E5" w:rsidP="003135CE">
      <w:pPr>
        <w:pStyle w:val="NumPar4"/>
        <w:rPr>
          <w:noProof/>
        </w:rPr>
      </w:pPr>
      <w:r w:rsidRPr="00315FEC">
        <w:rPr>
          <w:noProof/>
        </w:rPr>
        <w:t>the availability, to ITS service providers, of existing road and traffic data (i.e. traffic circulation plans, traffic regulations and recommended routes) collected by the relevant public authorities and/or the private sector</w:t>
      </w:r>
      <w:r w:rsidR="0003564C" w:rsidRPr="00315FEC">
        <w:rPr>
          <w:noProof/>
        </w:rPr>
        <w:t>;</w:t>
      </w:r>
    </w:p>
    <w:p w14:paraId="5DA6694A" w14:textId="638A3CF1" w:rsidR="007F65E5" w:rsidRPr="003276E7" w:rsidRDefault="007F65E5" w:rsidP="00582AFB">
      <w:pPr>
        <w:pStyle w:val="NumPar4"/>
        <w:rPr>
          <w:noProof/>
        </w:rPr>
      </w:pPr>
      <w:r w:rsidRPr="00315FEC">
        <w:rPr>
          <w:noProof/>
        </w:rPr>
        <w:t xml:space="preserve">the facilitation of the </w:t>
      </w:r>
      <w:r w:rsidRPr="003276E7">
        <w:rPr>
          <w:noProof/>
        </w:rPr>
        <w:t>electronic data exchange between the relevant public authorities and the ITS service providers</w:t>
      </w:r>
      <w:r w:rsidR="0064756B" w:rsidRPr="003276E7">
        <w:rPr>
          <w:noProof/>
        </w:rPr>
        <w:t xml:space="preserve"> and other relevant stakeholders</w:t>
      </w:r>
      <w:r w:rsidR="0003564C" w:rsidRPr="003276E7">
        <w:rPr>
          <w:noProof/>
        </w:rPr>
        <w:t>;</w:t>
      </w:r>
    </w:p>
    <w:p w14:paraId="542223CF" w14:textId="4950DB5E" w:rsidR="007F65E5" w:rsidRPr="003276E7" w:rsidRDefault="007F65E5" w:rsidP="00582AFB">
      <w:pPr>
        <w:pStyle w:val="NumPar4"/>
        <w:rPr>
          <w:noProof/>
        </w:rPr>
      </w:pPr>
      <w:r w:rsidRPr="003276E7">
        <w:rPr>
          <w:noProof/>
        </w:rPr>
        <w:t>the timely updating, by the relevant public authorities and/or, where relevant, the private sector, of road and traffic data (i.e. traffic circulation plans, traffic regulations and recommended routes</w:t>
      </w:r>
      <w:r w:rsidR="0003564C" w:rsidRPr="003276E7">
        <w:rPr>
          <w:noProof/>
        </w:rPr>
        <w:t>);</w:t>
      </w:r>
    </w:p>
    <w:p w14:paraId="3CC49391" w14:textId="77777777" w:rsidR="007F65E5" w:rsidRPr="00315FEC" w:rsidRDefault="007F65E5" w:rsidP="00582AFB">
      <w:pPr>
        <w:pStyle w:val="NumPar4"/>
        <w:rPr>
          <w:noProof/>
        </w:rPr>
      </w:pPr>
      <w:r w:rsidRPr="00315FEC">
        <w:rPr>
          <w:noProof/>
        </w:rPr>
        <w:t>the timely updating, by the ITS service providers, of the ITS services and applications using these road and traffic data.</w:t>
      </w:r>
    </w:p>
    <w:p w14:paraId="5C5DF392" w14:textId="3DFC7B9E" w:rsidR="007F65E5" w:rsidRPr="006A68D6" w:rsidRDefault="007F65E5" w:rsidP="00582AFB">
      <w:pPr>
        <w:pStyle w:val="NumPar3"/>
        <w:rPr>
          <w:noProof/>
        </w:rPr>
      </w:pPr>
      <w:r w:rsidRPr="006A68D6">
        <w:rPr>
          <w:noProof/>
        </w:rPr>
        <w:t>The definition of the necessary requirements to make road, traffic and relevant travel and multimodal infrastructure data used for digital maps accurate and available, where possible, to digital map producers and service providers, based on:</w:t>
      </w:r>
    </w:p>
    <w:p w14:paraId="1B561656" w14:textId="7A82A072" w:rsidR="007F65E5" w:rsidRPr="006A68D6" w:rsidRDefault="007F65E5" w:rsidP="003135CE">
      <w:pPr>
        <w:pStyle w:val="NumPar4"/>
        <w:rPr>
          <w:noProof/>
        </w:rPr>
      </w:pPr>
      <w:r w:rsidRPr="006A68D6">
        <w:rPr>
          <w:noProof/>
        </w:rPr>
        <w:t>the availability of existing road, traffic and relevant travel and multimodal infrastructure data, including identified access nodes, used for digital maps to digital map producers and service providers</w:t>
      </w:r>
      <w:r w:rsidR="0003564C">
        <w:rPr>
          <w:noProof/>
        </w:rPr>
        <w:t>;</w:t>
      </w:r>
    </w:p>
    <w:p w14:paraId="50A3A31A" w14:textId="38376D70" w:rsidR="007F65E5" w:rsidRPr="006A68D6" w:rsidRDefault="007F65E5" w:rsidP="00582AFB">
      <w:pPr>
        <w:pStyle w:val="NumPar4"/>
        <w:rPr>
          <w:noProof/>
        </w:rPr>
      </w:pPr>
      <w:r w:rsidRPr="006A68D6">
        <w:rPr>
          <w:noProof/>
        </w:rPr>
        <w:t>the facilitation of the electronic data exchange between the relevant public authorities and stakeholders and the private digital map producers and service providers</w:t>
      </w:r>
      <w:r w:rsidR="0003564C">
        <w:rPr>
          <w:noProof/>
        </w:rPr>
        <w:t>;</w:t>
      </w:r>
    </w:p>
    <w:p w14:paraId="30B50FB0" w14:textId="416E456B" w:rsidR="007F65E5" w:rsidRPr="006A68D6" w:rsidRDefault="007F65E5" w:rsidP="00582AFB">
      <w:pPr>
        <w:pStyle w:val="NumPar4"/>
        <w:rPr>
          <w:noProof/>
        </w:rPr>
      </w:pPr>
      <w:r w:rsidRPr="006A68D6">
        <w:rPr>
          <w:noProof/>
        </w:rPr>
        <w:t>the timely updating of road and traffic data for digital maps by the relevant public authorities and stakeholders</w:t>
      </w:r>
      <w:r w:rsidR="0003564C">
        <w:rPr>
          <w:noProof/>
        </w:rPr>
        <w:t>;</w:t>
      </w:r>
    </w:p>
    <w:p w14:paraId="2D27945A" w14:textId="77777777" w:rsidR="007F65E5" w:rsidRPr="006A68D6" w:rsidRDefault="007F65E5" w:rsidP="00582AFB">
      <w:pPr>
        <w:pStyle w:val="NumPar4"/>
        <w:rPr>
          <w:noProof/>
        </w:rPr>
      </w:pPr>
      <w:r w:rsidRPr="006A68D6">
        <w:rPr>
          <w:noProof/>
        </w:rPr>
        <w:t>the timely updating of the digital maps by the digital map producers and service providers.</w:t>
      </w:r>
    </w:p>
    <w:p w14:paraId="725847C3" w14:textId="2C9545A0" w:rsidR="007F65E5" w:rsidRPr="001F39E5" w:rsidRDefault="007F65E5" w:rsidP="00582AFB">
      <w:pPr>
        <w:pStyle w:val="NumPar1"/>
        <w:rPr>
          <w:noProof/>
        </w:rPr>
      </w:pPr>
      <w:r w:rsidRPr="006A68D6">
        <w:rPr>
          <w:noProof/>
        </w:rPr>
        <w:t xml:space="preserve">Priority area II: </w:t>
      </w:r>
      <w:r w:rsidRPr="001F39E5">
        <w:rPr>
          <w:noProof/>
        </w:rPr>
        <w:t>Travel</w:t>
      </w:r>
      <w:r w:rsidR="0064756B" w:rsidRPr="001F39E5">
        <w:rPr>
          <w:noProof/>
        </w:rPr>
        <w:t xml:space="preserve">, </w:t>
      </w:r>
      <w:r w:rsidR="00AD5ACF">
        <w:rPr>
          <w:noProof/>
        </w:rPr>
        <w:t>t</w:t>
      </w:r>
      <w:r w:rsidR="0064756B" w:rsidRPr="001F39E5">
        <w:rPr>
          <w:noProof/>
        </w:rPr>
        <w:t>ransport</w:t>
      </w:r>
      <w:r w:rsidRPr="001F39E5">
        <w:rPr>
          <w:noProof/>
        </w:rPr>
        <w:t xml:space="preserve"> and </w:t>
      </w:r>
      <w:r w:rsidR="00AD5ACF">
        <w:rPr>
          <w:noProof/>
        </w:rPr>
        <w:t>t</w:t>
      </w:r>
      <w:r w:rsidRPr="001F39E5">
        <w:rPr>
          <w:noProof/>
        </w:rPr>
        <w:t>raffic management ITS services</w:t>
      </w:r>
    </w:p>
    <w:p w14:paraId="212F2CFF" w14:textId="4D2D7CC4" w:rsidR="00AD5ACF" w:rsidRDefault="00AD5ACF" w:rsidP="00582AFB">
      <w:pPr>
        <w:rPr>
          <w:noProof/>
        </w:rPr>
      </w:pPr>
      <w:r w:rsidRPr="001F39E5">
        <w:rPr>
          <w:noProof/>
        </w:rPr>
        <w:t xml:space="preserve">The specifications and standards </w:t>
      </w:r>
      <w:r w:rsidRPr="00AE0FD1">
        <w:rPr>
          <w:noProof/>
        </w:rPr>
        <w:t>for t</w:t>
      </w:r>
      <w:r w:rsidRPr="00AD5ACF">
        <w:rPr>
          <w:noProof/>
        </w:rPr>
        <w:t>ravel, transport and traffic management ITS services</w:t>
      </w:r>
      <w:r w:rsidRPr="00AE0FD1">
        <w:rPr>
          <w:noProof/>
        </w:rPr>
        <w:t xml:space="preserve"> </w:t>
      </w:r>
      <w:r w:rsidRPr="001F39E5">
        <w:rPr>
          <w:noProof/>
        </w:rPr>
        <w:t>shall include the following</w:t>
      </w:r>
      <w:r>
        <w:rPr>
          <w:noProof/>
        </w:rPr>
        <w:t>:</w:t>
      </w:r>
    </w:p>
    <w:p w14:paraId="3FC5F163" w14:textId="07BE4D6A" w:rsidR="007F65E5" w:rsidRPr="00582AFB" w:rsidRDefault="007F65E5" w:rsidP="00582AFB">
      <w:pPr>
        <w:pStyle w:val="NumPar2"/>
        <w:rPr>
          <w:noProof/>
          <w:lang w:val="mt-MT"/>
        </w:rPr>
      </w:pPr>
      <w:r w:rsidRPr="00582AFB">
        <w:rPr>
          <w:noProof/>
          <w:lang w:val="mt-MT"/>
        </w:rPr>
        <w:t>Specifications for enhanced traffic and incident management services</w:t>
      </w:r>
    </w:p>
    <w:p w14:paraId="27CA2C06" w14:textId="77777777" w:rsidR="007F65E5" w:rsidRPr="001F39E5" w:rsidRDefault="007F65E5" w:rsidP="007F65E5">
      <w:pPr>
        <w:rPr>
          <w:rFonts w:cstheme="minorHAnsi"/>
          <w:noProof/>
          <w:lang w:eastAsia="en-GB"/>
        </w:rPr>
      </w:pPr>
      <w:r w:rsidRPr="001F39E5">
        <w:rPr>
          <w:rFonts w:cstheme="minorHAnsi"/>
          <w:noProof/>
          <w:lang w:eastAsia="en-GB"/>
        </w:rPr>
        <w:t>The definition of the necessary requirements to support and harmonise enhanced traffic and incident management services, based on:</w:t>
      </w:r>
    </w:p>
    <w:p w14:paraId="1207997B" w14:textId="49672663" w:rsidR="007F65E5" w:rsidRPr="001F39E5" w:rsidRDefault="007F65E5" w:rsidP="00304BFB">
      <w:pPr>
        <w:pStyle w:val="NumPar3"/>
        <w:rPr>
          <w:noProof/>
        </w:rPr>
      </w:pPr>
      <w:r w:rsidRPr="001F39E5">
        <w:rPr>
          <w:noProof/>
        </w:rPr>
        <w:t>the availability and accessibility of existing and accurate road and traffic data and data on accidents and incidents needed for traffic and incident management services</w:t>
      </w:r>
      <w:r w:rsidR="00603D85">
        <w:rPr>
          <w:noProof/>
        </w:rPr>
        <w:t>;</w:t>
      </w:r>
    </w:p>
    <w:p w14:paraId="4897B91B" w14:textId="2569E5C5" w:rsidR="007F65E5" w:rsidRPr="001F39E5" w:rsidRDefault="007F65E5" w:rsidP="00582AFB">
      <w:pPr>
        <w:pStyle w:val="NumPar3"/>
        <w:rPr>
          <w:noProof/>
        </w:rPr>
      </w:pPr>
      <w:r w:rsidRPr="001F39E5">
        <w:rPr>
          <w:noProof/>
        </w:rPr>
        <w:t>the facilitation of electronic data exchange, including freight</w:t>
      </w:r>
      <w:r w:rsidR="00F026BF">
        <w:rPr>
          <w:noProof/>
        </w:rPr>
        <w:t xml:space="preserve"> data</w:t>
      </w:r>
      <w:r w:rsidRPr="001F39E5">
        <w:rPr>
          <w:noProof/>
        </w:rPr>
        <w:t>, between traffic management centres, traffic information centres, stakeholders and the relevant ITS service providers, across borders, in particular through standardised interfaces</w:t>
      </w:r>
      <w:r w:rsidR="00603D85">
        <w:rPr>
          <w:noProof/>
        </w:rPr>
        <w:t>;</w:t>
      </w:r>
      <w:r w:rsidR="00603D85" w:rsidRPr="001F39E5">
        <w:rPr>
          <w:noProof/>
        </w:rPr>
        <w:t xml:space="preserve"> </w:t>
      </w:r>
    </w:p>
    <w:p w14:paraId="7FA52E33" w14:textId="6AA07368" w:rsidR="007F65E5" w:rsidRPr="001F39E5" w:rsidRDefault="007F65E5" w:rsidP="00582AFB">
      <w:pPr>
        <w:pStyle w:val="NumPar3"/>
        <w:rPr>
          <w:noProof/>
        </w:rPr>
      </w:pPr>
      <w:r w:rsidRPr="001F39E5">
        <w:rPr>
          <w:noProof/>
        </w:rPr>
        <w:t>the timely updating of available road and traffic data and data on accidents and incidents needed for enhanced traffic and incident management servic</w:t>
      </w:r>
      <w:r w:rsidR="00DD3233" w:rsidRPr="001F39E5">
        <w:rPr>
          <w:noProof/>
        </w:rPr>
        <w:t>es by the relevant stakeholders</w:t>
      </w:r>
      <w:r w:rsidR="00603D85">
        <w:rPr>
          <w:noProof/>
        </w:rPr>
        <w:t>;</w:t>
      </w:r>
    </w:p>
    <w:p w14:paraId="7EEA6238" w14:textId="6C37BE14" w:rsidR="00DD3233" w:rsidRPr="001F39E5" w:rsidRDefault="00DD3233" w:rsidP="00582AFB">
      <w:pPr>
        <w:pStyle w:val="NumPar3"/>
        <w:rPr>
          <w:noProof/>
        </w:rPr>
      </w:pPr>
      <w:r w:rsidRPr="001F39E5">
        <w:rPr>
          <w:noProof/>
        </w:rPr>
        <w:t>the availability of data and synergies with other initiatives aimed at harmonising and facilitating data sharing</w:t>
      </w:r>
      <w:r w:rsidR="00C55A6E">
        <w:rPr>
          <w:rStyle w:val="FootnoteReference"/>
          <w:noProof/>
        </w:rPr>
        <w:footnoteReference w:id="1"/>
      </w:r>
      <w:r w:rsidRPr="001F39E5">
        <w:rPr>
          <w:noProof/>
        </w:rPr>
        <w:t>, as well as supporting multimodality, integration of modes and optimising the modal balance on the European transport network.</w:t>
      </w:r>
    </w:p>
    <w:p w14:paraId="00C6FCC1" w14:textId="324B3AA4" w:rsidR="007F65E5" w:rsidRPr="006A68D6" w:rsidRDefault="007F65E5" w:rsidP="00582AFB">
      <w:pPr>
        <w:pStyle w:val="NumPar2"/>
        <w:rPr>
          <w:noProof/>
        </w:rPr>
      </w:pPr>
      <w:r w:rsidRPr="007F65E5">
        <w:rPr>
          <w:noProof/>
        </w:rPr>
        <w:t>Specifications for mobility management services</w:t>
      </w:r>
    </w:p>
    <w:p w14:paraId="6CDB15B5" w14:textId="77777777" w:rsidR="007F65E5" w:rsidRPr="006A68D6" w:rsidRDefault="007F65E5" w:rsidP="007F65E5">
      <w:pPr>
        <w:rPr>
          <w:rFonts w:cstheme="minorHAnsi"/>
          <w:noProof/>
        </w:rPr>
      </w:pPr>
      <w:r w:rsidRPr="006A68D6">
        <w:rPr>
          <w:rFonts w:cstheme="minorHAnsi"/>
          <w:noProof/>
        </w:rPr>
        <w:t>The definition of the necessary requirements to support the development of accurate mobility management services by public transport authorities, based on:</w:t>
      </w:r>
    </w:p>
    <w:p w14:paraId="2BDCB74B" w14:textId="3F0D8D94" w:rsidR="007F65E5" w:rsidRPr="007F65E5" w:rsidRDefault="007F65E5" w:rsidP="00304BFB">
      <w:pPr>
        <w:pStyle w:val="NumPar3"/>
        <w:rPr>
          <w:noProof/>
        </w:rPr>
      </w:pPr>
      <w:r w:rsidRPr="007F65E5">
        <w:rPr>
          <w:noProof/>
        </w:rPr>
        <w:t>the availability and accessibility of existing and accurate road and multimodal travel and traffic data needed for mobility management, to the relevant public authorities without prejudice to data protection requirements</w:t>
      </w:r>
      <w:r w:rsidR="00641AA7">
        <w:rPr>
          <w:noProof/>
        </w:rPr>
        <w:t>;</w:t>
      </w:r>
    </w:p>
    <w:p w14:paraId="4D7084E6" w14:textId="7173A738" w:rsidR="007F65E5" w:rsidRPr="007F65E5" w:rsidRDefault="007F65E5" w:rsidP="00582AFB">
      <w:pPr>
        <w:pStyle w:val="NumPar3"/>
        <w:rPr>
          <w:noProof/>
        </w:rPr>
      </w:pPr>
      <w:r w:rsidRPr="007F65E5">
        <w:rPr>
          <w:noProof/>
        </w:rPr>
        <w:t>the facilitation of electronic data exchange between the relevant public authorities and stakeholders and the relevant ITS service providers, across borders</w:t>
      </w:r>
      <w:r w:rsidR="00641AA7">
        <w:rPr>
          <w:noProof/>
        </w:rPr>
        <w:t>;</w:t>
      </w:r>
    </w:p>
    <w:p w14:paraId="70A73E6C" w14:textId="77777777" w:rsidR="007F65E5" w:rsidRPr="007F65E5" w:rsidRDefault="007F65E5" w:rsidP="00582AFB">
      <w:pPr>
        <w:pStyle w:val="NumPar3"/>
        <w:rPr>
          <w:noProof/>
        </w:rPr>
      </w:pPr>
      <w:r w:rsidRPr="007F65E5">
        <w:rPr>
          <w:noProof/>
        </w:rPr>
        <w:t>the timely updating of available road and multimodal travel and traffic data needed for mobility management by the relevant public authorities and stakeholders.</w:t>
      </w:r>
    </w:p>
    <w:p w14:paraId="5B12B164" w14:textId="1548A249" w:rsidR="007F65E5" w:rsidRPr="006A68D6" w:rsidRDefault="007F65E5" w:rsidP="00582AFB">
      <w:pPr>
        <w:pStyle w:val="NumPar2"/>
        <w:rPr>
          <w:noProof/>
        </w:rPr>
      </w:pPr>
      <w:r w:rsidRPr="007F65E5">
        <w:rPr>
          <w:noProof/>
        </w:rPr>
        <w:t>EU ITS framework architecture</w:t>
      </w:r>
    </w:p>
    <w:p w14:paraId="772C226A" w14:textId="29010CC9" w:rsidR="007F65E5" w:rsidRPr="006A68D6" w:rsidRDefault="007F65E5" w:rsidP="007F65E5">
      <w:pPr>
        <w:rPr>
          <w:noProof/>
        </w:rPr>
      </w:pPr>
      <w:r w:rsidRPr="006A68D6">
        <w:rPr>
          <w:noProof/>
        </w:rPr>
        <w:t xml:space="preserve">The definition of the necessary measures to develop an EU ITS </w:t>
      </w:r>
      <w:r w:rsidR="004A03AF">
        <w:rPr>
          <w:noProof/>
        </w:rPr>
        <w:t>f</w:t>
      </w:r>
      <w:r w:rsidRPr="006A68D6">
        <w:rPr>
          <w:noProof/>
        </w:rPr>
        <w:t xml:space="preserve">ramework </w:t>
      </w:r>
      <w:r w:rsidR="004A03AF">
        <w:rPr>
          <w:noProof/>
        </w:rPr>
        <w:t>a</w:t>
      </w:r>
      <w:r w:rsidRPr="006A68D6">
        <w:rPr>
          <w:noProof/>
        </w:rPr>
        <w:t>rchitecture, addressing specifically ITS-related interoperability, continuity of services and multimodality aspects, within which Member States and their competent authorities in cooperation with the private sector can develop their own ITS architecture for mobility at national, regional or local level.</w:t>
      </w:r>
    </w:p>
    <w:p w14:paraId="73313B95" w14:textId="383036CC" w:rsidR="007F65E5" w:rsidRPr="001F39E5" w:rsidRDefault="007F65E5" w:rsidP="00582AFB">
      <w:pPr>
        <w:pStyle w:val="NumPar2"/>
        <w:rPr>
          <w:noProof/>
        </w:rPr>
      </w:pPr>
      <w:r w:rsidRPr="007F65E5">
        <w:rPr>
          <w:noProof/>
        </w:rPr>
        <w:t>ITS</w:t>
      </w:r>
      <w:r w:rsidR="003173D3">
        <w:rPr>
          <w:noProof/>
        </w:rPr>
        <w:t xml:space="preserve"> </w:t>
      </w:r>
      <w:r w:rsidR="003173D3" w:rsidRPr="001F39E5">
        <w:rPr>
          <w:noProof/>
        </w:rPr>
        <w:t>applications and freight transport logistics</w:t>
      </w:r>
    </w:p>
    <w:p w14:paraId="42C7C5BB" w14:textId="1E4994B9" w:rsidR="007F65E5" w:rsidRPr="001F39E5" w:rsidRDefault="007F65E5" w:rsidP="007F65E5">
      <w:pPr>
        <w:rPr>
          <w:noProof/>
        </w:rPr>
      </w:pPr>
      <w:r w:rsidRPr="001F39E5">
        <w:rPr>
          <w:noProof/>
        </w:rPr>
        <w:t xml:space="preserve">The definition of the necessary </w:t>
      </w:r>
      <w:r w:rsidR="0006330E">
        <w:rPr>
          <w:noProof/>
        </w:rPr>
        <w:t>requirements</w:t>
      </w:r>
      <w:r w:rsidR="0006330E" w:rsidRPr="001F39E5">
        <w:rPr>
          <w:noProof/>
        </w:rPr>
        <w:t xml:space="preserve"> </w:t>
      </w:r>
      <w:r w:rsidR="0006330E">
        <w:rPr>
          <w:noProof/>
        </w:rPr>
        <w:t>to support</w:t>
      </w:r>
      <w:r w:rsidR="0006330E" w:rsidRPr="001F39E5">
        <w:rPr>
          <w:noProof/>
        </w:rPr>
        <w:t xml:space="preserve"> </w:t>
      </w:r>
      <w:r w:rsidRPr="001F39E5">
        <w:rPr>
          <w:noProof/>
        </w:rPr>
        <w:t xml:space="preserve">the realisation of ITS applications </w:t>
      </w:r>
      <w:r w:rsidR="003D071D" w:rsidRPr="001F39E5">
        <w:rPr>
          <w:noProof/>
        </w:rPr>
        <w:t>for freight transport logistics</w:t>
      </w:r>
      <w:r w:rsidR="003D071D">
        <w:rPr>
          <w:noProof/>
        </w:rPr>
        <w:t>, in particular</w:t>
      </w:r>
      <w:r w:rsidR="003D071D" w:rsidRPr="001F39E5">
        <w:rPr>
          <w:noProof/>
        </w:rPr>
        <w:t xml:space="preserve"> </w:t>
      </w:r>
      <w:r w:rsidRPr="001F39E5">
        <w:rPr>
          <w:noProof/>
        </w:rPr>
        <w:t xml:space="preserve">the tracking and tracing of freight </w:t>
      </w:r>
      <w:r w:rsidR="00097B17" w:rsidRPr="001F39E5">
        <w:rPr>
          <w:noProof/>
        </w:rPr>
        <w:t xml:space="preserve">and other visibility services </w:t>
      </w:r>
      <w:r w:rsidRPr="001F39E5">
        <w:rPr>
          <w:noProof/>
        </w:rPr>
        <w:t>along its journey and across modes of transport, based on:</w:t>
      </w:r>
    </w:p>
    <w:p w14:paraId="04F9617E" w14:textId="23816DFB" w:rsidR="007F65E5" w:rsidRPr="001F39E5" w:rsidRDefault="007F65E5" w:rsidP="00304BFB">
      <w:pPr>
        <w:pStyle w:val="NumPar3"/>
        <w:rPr>
          <w:noProof/>
        </w:rPr>
      </w:pPr>
      <w:r w:rsidRPr="001F39E5">
        <w:rPr>
          <w:noProof/>
        </w:rPr>
        <w:t>the availability of relevant ITS technologies to and their use by ITS application developers</w:t>
      </w:r>
      <w:r w:rsidR="00664D7A">
        <w:rPr>
          <w:noProof/>
        </w:rPr>
        <w:t>;</w:t>
      </w:r>
    </w:p>
    <w:p w14:paraId="6E1DC7FB" w14:textId="0635E5AD" w:rsidR="00097B17" w:rsidRPr="001F39E5" w:rsidRDefault="005A1D00" w:rsidP="00582AFB">
      <w:pPr>
        <w:pStyle w:val="NumPar3"/>
        <w:rPr>
          <w:noProof/>
        </w:rPr>
      </w:pPr>
      <w:r>
        <w:rPr>
          <w:noProof/>
        </w:rPr>
        <w:t>t</w:t>
      </w:r>
      <w:r w:rsidR="00CC7FC4" w:rsidRPr="001F39E5">
        <w:rPr>
          <w:noProof/>
        </w:rPr>
        <w:t>he availability of cargo related data, accessible through other specific data sharing frameworks</w:t>
      </w:r>
      <w:r w:rsidR="00C55A6E">
        <w:rPr>
          <w:rStyle w:val="FootnoteReference"/>
          <w:noProof/>
        </w:rPr>
        <w:footnoteReference w:id="2"/>
      </w:r>
      <w:r w:rsidR="00664D7A">
        <w:rPr>
          <w:noProof/>
        </w:rPr>
        <w:t>;</w:t>
      </w:r>
    </w:p>
    <w:p w14:paraId="078DE4A5" w14:textId="77777777" w:rsidR="007F65E5" w:rsidRDefault="007F65E5" w:rsidP="00582AFB">
      <w:pPr>
        <w:pStyle w:val="NumPar3"/>
        <w:rPr>
          <w:noProof/>
        </w:rPr>
      </w:pPr>
      <w:r w:rsidRPr="001F39E5">
        <w:rPr>
          <w:noProof/>
        </w:rPr>
        <w:t>the integration of positioning results in the traffic management tools and centres</w:t>
      </w:r>
      <w:r w:rsidRPr="006A68D6">
        <w:rPr>
          <w:noProof/>
        </w:rPr>
        <w:t>.</w:t>
      </w:r>
    </w:p>
    <w:p w14:paraId="4FF04AF1" w14:textId="24C53821" w:rsidR="007F65E5" w:rsidRPr="006A68D6" w:rsidRDefault="007F65E5" w:rsidP="00582AFB">
      <w:pPr>
        <w:pStyle w:val="NumPar1"/>
        <w:rPr>
          <w:noProof/>
        </w:rPr>
      </w:pPr>
      <w:r w:rsidRPr="006A68D6">
        <w:rPr>
          <w:noProof/>
        </w:rPr>
        <w:t>Priority area III: Road safety and security ITS services</w:t>
      </w:r>
    </w:p>
    <w:p w14:paraId="5077DD49" w14:textId="77777777" w:rsidR="007F65E5" w:rsidRPr="006A68D6" w:rsidRDefault="007F65E5" w:rsidP="007F65E5">
      <w:pPr>
        <w:rPr>
          <w:noProof/>
        </w:rPr>
      </w:pPr>
      <w:r w:rsidRPr="006A68D6">
        <w:rPr>
          <w:noProof/>
        </w:rPr>
        <w:t xml:space="preserve">The specifications and standards for road safety and security </w:t>
      </w:r>
      <w:r w:rsidR="005A1D00" w:rsidRPr="006A68D6">
        <w:rPr>
          <w:noProof/>
        </w:rPr>
        <w:t xml:space="preserve">ITS </w:t>
      </w:r>
      <w:r w:rsidRPr="006A68D6">
        <w:rPr>
          <w:noProof/>
        </w:rPr>
        <w:t>services shall include the following:</w:t>
      </w:r>
    </w:p>
    <w:p w14:paraId="21711C47" w14:textId="2CCF5684" w:rsidR="007F65E5" w:rsidRPr="006A68D6" w:rsidRDefault="007F65E5" w:rsidP="00582AFB">
      <w:pPr>
        <w:pStyle w:val="NumPar2"/>
        <w:rPr>
          <w:noProof/>
        </w:rPr>
      </w:pPr>
      <w:r w:rsidRPr="006A68D6">
        <w:rPr>
          <w:noProof/>
        </w:rPr>
        <w:t>Specifications for the interoperable EU-wide eCall</w:t>
      </w:r>
    </w:p>
    <w:p w14:paraId="0B5692B5" w14:textId="77777777" w:rsidR="007F65E5" w:rsidRPr="006A68D6" w:rsidRDefault="007F65E5" w:rsidP="00F96CA1">
      <w:pPr>
        <w:rPr>
          <w:noProof/>
        </w:rPr>
      </w:pPr>
      <w:r w:rsidRPr="006A68D6">
        <w:rPr>
          <w:noProof/>
        </w:rPr>
        <w:t>The definition of the necessary measures for the harmonised provision of an interoperable EU-wide eCall, including:</w:t>
      </w:r>
    </w:p>
    <w:p w14:paraId="1346E51A" w14:textId="6E20033F" w:rsidR="007F65E5" w:rsidRPr="006A68D6" w:rsidRDefault="007F65E5" w:rsidP="00304BFB">
      <w:pPr>
        <w:pStyle w:val="NumPar3"/>
        <w:rPr>
          <w:noProof/>
        </w:rPr>
      </w:pPr>
      <w:r w:rsidRPr="006A68D6">
        <w:rPr>
          <w:noProof/>
        </w:rPr>
        <w:t>the availability of the required in-vehicle ITS data to be exchanged</w:t>
      </w:r>
      <w:r w:rsidR="0069649F">
        <w:rPr>
          <w:noProof/>
        </w:rPr>
        <w:t>;</w:t>
      </w:r>
    </w:p>
    <w:p w14:paraId="21CFC487" w14:textId="34B0B468" w:rsidR="007F65E5" w:rsidRPr="006A68D6" w:rsidRDefault="007F65E5" w:rsidP="00582AFB">
      <w:pPr>
        <w:pStyle w:val="NumPar3"/>
        <w:rPr>
          <w:noProof/>
        </w:rPr>
      </w:pPr>
      <w:r w:rsidRPr="006A68D6">
        <w:rPr>
          <w:noProof/>
        </w:rPr>
        <w:t>the availability of the necessary equipment in the emergency call response centres receiving the data emitted from the vehicles</w:t>
      </w:r>
      <w:r w:rsidR="0069649F">
        <w:rPr>
          <w:noProof/>
        </w:rPr>
        <w:t>;</w:t>
      </w:r>
    </w:p>
    <w:p w14:paraId="3AB33DB8" w14:textId="77777777" w:rsidR="007F65E5" w:rsidRPr="006A68D6" w:rsidRDefault="007F65E5" w:rsidP="00582AFB">
      <w:pPr>
        <w:pStyle w:val="NumPar3"/>
        <w:rPr>
          <w:noProof/>
        </w:rPr>
      </w:pPr>
      <w:r w:rsidRPr="006A68D6">
        <w:rPr>
          <w:noProof/>
        </w:rPr>
        <w:t>the facilitation of the electronic data exchange between the vehicles and the emergency call response centres.</w:t>
      </w:r>
    </w:p>
    <w:p w14:paraId="09538B0C" w14:textId="58797E3E" w:rsidR="007F65E5" w:rsidRPr="006A68D6" w:rsidRDefault="007F65E5" w:rsidP="00582AFB">
      <w:pPr>
        <w:pStyle w:val="NumPar2"/>
        <w:rPr>
          <w:noProof/>
        </w:rPr>
      </w:pPr>
      <w:r w:rsidRPr="006A68D6">
        <w:rPr>
          <w:noProof/>
        </w:rPr>
        <w:t>Specifications for information and reservation services for safe and secure parking places for trucks and commercial vehicles</w:t>
      </w:r>
    </w:p>
    <w:p w14:paraId="6509FE9C" w14:textId="77777777" w:rsidR="007F65E5" w:rsidRPr="006A68D6" w:rsidRDefault="007F65E5" w:rsidP="00F96CA1">
      <w:pPr>
        <w:rPr>
          <w:noProof/>
        </w:rPr>
      </w:pPr>
      <w:r w:rsidRPr="006A68D6">
        <w:rPr>
          <w:noProof/>
        </w:rPr>
        <w:t>The definition of the necessary measures to provide ITS based information and reservation services for safe and secure parking places for trucks and commercial vehicles, in particular in service and rest areas on roads, based on:</w:t>
      </w:r>
    </w:p>
    <w:p w14:paraId="4B7989CD" w14:textId="4EA04699" w:rsidR="007F65E5" w:rsidRPr="006A68D6" w:rsidRDefault="007F65E5" w:rsidP="00304BFB">
      <w:pPr>
        <w:pStyle w:val="NumPar3"/>
        <w:rPr>
          <w:noProof/>
        </w:rPr>
      </w:pPr>
      <w:r w:rsidRPr="006A68D6">
        <w:rPr>
          <w:noProof/>
        </w:rPr>
        <w:t>the availability of the road parking information to users</w:t>
      </w:r>
      <w:r w:rsidR="00A36C3B">
        <w:rPr>
          <w:noProof/>
        </w:rPr>
        <w:t>;</w:t>
      </w:r>
    </w:p>
    <w:p w14:paraId="10A8633A" w14:textId="6671E8C2" w:rsidR="007F65E5" w:rsidRPr="006A68D6" w:rsidRDefault="007F65E5" w:rsidP="00582AFB">
      <w:pPr>
        <w:pStyle w:val="NumPar3"/>
        <w:rPr>
          <w:noProof/>
        </w:rPr>
      </w:pPr>
      <w:r w:rsidRPr="006A68D6">
        <w:rPr>
          <w:noProof/>
        </w:rPr>
        <w:t>the facilitation of the electronic data exchange between road parking sites and spaces</w:t>
      </w:r>
      <w:r w:rsidR="00026FF7">
        <w:rPr>
          <w:noProof/>
        </w:rPr>
        <w:t>, centres and vehicles</w:t>
      </w:r>
      <w:r w:rsidR="00A36C3B">
        <w:rPr>
          <w:noProof/>
        </w:rPr>
        <w:t>;</w:t>
      </w:r>
    </w:p>
    <w:p w14:paraId="26F3752C" w14:textId="77777777" w:rsidR="007F65E5" w:rsidRPr="006A68D6" w:rsidRDefault="007F65E5" w:rsidP="00582AFB">
      <w:pPr>
        <w:pStyle w:val="NumPar3"/>
        <w:rPr>
          <w:noProof/>
        </w:rPr>
      </w:pPr>
      <w:r w:rsidRPr="006A68D6">
        <w:rPr>
          <w:noProof/>
        </w:rPr>
        <w:t>the integration of relevant ITS technologies in both vehicles and road parking facilities to update the information on available parking space for reservation purposes.</w:t>
      </w:r>
    </w:p>
    <w:p w14:paraId="64E2EF4D" w14:textId="4D68917F" w:rsidR="007F65E5" w:rsidRPr="00026FF7" w:rsidRDefault="007F65E5" w:rsidP="00582AFB">
      <w:pPr>
        <w:pStyle w:val="NumPar2"/>
        <w:rPr>
          <w:noProof/>
        </w:rPr>
      </w:pPr>
      <w:r w:rsidRPr="00026FF7">
        <w:rPr>
          <w:noProof/>
        </w:rPr>
        <w:t>Specifications for road safety related minimum universal traffic information</w:t>
      </w:r>
    </w:p>
    <w:p w14:paraId="71034066" w14:textId="77777777" w:rsidR="007F65E5" w:rsidRPr="00A45167" w:rsidRDefault="007F65E5" w:rsidP="009272A9">
      <w:pPr>
        <w:rPr>
          <w:noProof/>
        </w:rPr>
      </w:pPr>
      <w:r w:rsidRPr="00364296">
        <w:rPr>
          <w:noProof/>
          <w:lang w:eastAsia="en-GB"/>
        </w:rPr>
        <w:t>The definition of minimum requirements, for road safety related ‘universal traffic information’ provided, where possible, free of charge to all users, as well as their minimum content, based on:</w:t>
      </w:r>
    </w:p>
    <w:p w14:paraId="24CA8AAF" w14:textId="01B7551D" w:rsidR="007F65E5" w:rsidRPr="00364296" w:rsidRDefault="007F65E5" w:rsidP="00304BFB">
      <w:pPr>
        <w:pStyle w:val="NumPar3"/>
        <w:rPr>
          <w:noProof/>
        </w:rPr>
      </w:pPr>
      <w:r w:rsidRPr="00364296">
        <w:rPr>
          <w:noProof/>
        </w:rPr>
        <w:t xml:space="preserve">the availability and accessibility of accurate data </w:t>
      </w:r>
      <w:r w:rsidRPr="006A68D6">
        <w:rPr>
          <w:noProof/>
        </w:rPr>
        <w:t>on safety-related events</w:t>
      </w:r>
      <w:r w:rsidRPr="00364296">
        <w:rPr>
          <w:noProof/>
        </w:rPr>
        <w:t xml:space="preserve"> needed for </w:t>
      </w:r>
      <w:r w:rsidR="00855125">
        <w:rPr>
          <w:noProof/>
        </w:rPr>
        <w:t xml:space="preserve">safety-related </w:t>
      </w:r>
      <w:r w:rsidRPr="00364296">
        <w:rPr>
          <w:noProof/>
        </w:rPr>
        <w:t>traffic</w:t>
      </w:r>
      <w:r w:rsidRPr="006A68D6">
        <w:rPr>
          <w:noProof/>
        </w:rPr>
        <w:t xml:space="preserve"> information</w:t>
      </w:r>
      <w:r w:rsidRPr="00364296">
        <w:rPr>
          <w:noProof/>
        </w:rPr>
        <w:t xml:space="preserve"> and incident management services</w:t>
      </w:r>
      <w:r w:rsidR="002F3E71">
        <w:rPr>
          <w:noProof/>
        </w:rPr>
        <w:t>;</w:t>
      </w:r>
    </w:p>
    <w:p w14:paraId="09371858" w14:textId="585FB4FE" w:rsidR="007F65E5" w:rsidRPr="006A68D6" w:rsidRDefault="007F65E5" w:rsidP="00582AFB">
      <w:pPr>
        <w:pStyle w:val="NumPar3"/>
        <w:rPr>
          <w:noProof/>
        </w:rPr>
      </w:pPr>
      <w:r w:rsidRPr="006A68D6">
        <w:rPr>
          <w:noProof/>
        </w:rPr>
        <w:t>the deployment or use of the means to detect or identify safety-related conditions</w:t>
      </w:r>
      <w:r w:rsidR="002F3E71">
        <w:rPr>
          <w:noProof/>
        </w:rPr>
        <w:t>;</w:t>
      </w:r>
    </w:p>
    <w:p w14:paraId="21ADA75C" w14:textId="6AAF682F" w:rsidR="007F65E5" w:rsidRPr="006A68D6" w:rsidRDefault="007F65E5" w:rsidP="00582AFB">
      <w:pPr>
        <w:pStyle w:val="NumPar3"/>
        <w:rPr>
          <w:noProof/>
        </w:rPr>
      </w:pPr>
      <w:r w:rsidRPr="006A68D6">
        <w:rPr>
          <w:noProof/>
        </w:rPr>
        <w:t>the identification and use of a standardised list of safety related traffic events (‘universal traffic messages’) which should be communicated to ITS users free of charge</w:t>
      </w:r>
      <w:r w:rsidR="002F3E71">
        <w:rPr>
          <w:noProof/>
        </w:rPr>
        <w:t>;</w:t>
      </w:r>
    </w:p>
    <w:p w14:paraId="1DFA4187" w14:textId="77777777" w:rsidR="007F65E5" w:rsidRPr="006A68D6" w:rsidRDefault="005A1D00" w:rsidP="00582AFB">
      <w:pPr>
        <w:pStyle w:val="NumPar3"/>
        <w:rPr>
          <w:noProof/>
        </w:rPr>
      </w:pPr>
      <w:r>
        <w:rPr>
          <w:noProof/>
        </w:rPr>
        <w:t>t</w:t>
      </w:r>
      <w:r w:rsidR="007F65E5" w:rsidRPr="006A68D6">
        <w:rPr>
          <w:noProof/>
        </w:rPr>
        <w:t>he compatibility and the integration of ‘universal traffic messages’ into ITS services for real-time traffic and multimodal travel information.</w:t>
      </w:r>
    </w:p>
    <w:p w14:paraId="24B08800" w14:textId="1A4470BB" w:rsidR="007F65E5" w:rsidRPr="006A68D6" w:rsidRDefault="007F65E5" w:rsidP="00582AFB">
      <w:pPr>
        <w:pStyle w:val="NumPar2"/>
        <w:rPr>
          <w:noProof/>
        </w:rPr>
      </w:pPr>
      <w:r w:rsidRPr="006A68D6">
        <w:rPr>
          <w:noProof/>
        </w:rPr>
        <w:t>Specifications for other actions</w:t>
      </w:r>
    </w:p>
    <w:p w14:paraId="235E2512" w14:textId="619B6EE2" w:rsidR="007F65E5" w:rsidRPr="006A68D6" w:rsidRDefault="007F65E5" w:rsidP="00304BFB">
      <w:pPr>
        <w:pStyle w:val="NumPar3"/>
        <w:rPr>
          <w:noProof/>
        </w:rPr>
      </w:pPr>
      <w:r w:rsidRPr="006A68D6">
        <w:rPr>
          <w:noProof/>
        </w:rPr>
        <w:t>The definition of the necessary measures to support the safety of road users with respect to their on-board Human-Machine-Interface and the use of nomadic devices to support the driving task and/or the transport operation, as well as the security of the in-vehicle communications</w:t>
      </w:r>
      <w:r w:rsidR="000572A2">
        <w:rPr>
          <w:noProof/>
        </w:rPr>
        <w:t xml:space="preserve"> </w:t>
      </w:r>
      <w:r w:rsidR="000572A2" w:rsidRPr="000572A2">
        <w:rPr>
          <w:noProof/>
        </w:rPr>
        <w:t>which fall outside the scope of Regulation (EU) 2018/858</w:t>
      </w:r>
      <w:r w:rsidR="00441B34">
        <w:rPr>
          <w:noProof/>
        </w:rPr>
        <w:t xml:space="preserve"> </w:t>
      </w:r>
      <w:r w:rsidR="00441B34" w:rsidRPr="00537371">
        <w:rPr>
          <w:noProof/>
        </w:rPr>
        <w:t>of the European Parliament and of the Council</w:t>
      </w:r>
      <w:r w:rsidR="00C55A6E">
        <w:rPr>
          <w:rStyle w:val="FootnoteReference"/>
          <w:noProof/>
        </w:rPr>
        <w:footnoteReference w:id="3"/>
      </w:r>
      <w:r w:rsidR="000572A2" w:rsidRPr="000572A2">
        <w:rPr>
          <w:noProof/>
        </w:rPr>
        <w:t xml:space="preserve">, Regulation (EU) No 167/2013 </w:t>
      </w:r>
      <w:r w:rsidR="00441B34" w:rsidRPr="00537371">
        <w:rPr>
          <w:noProof/>
        </w:rPr>
        <w:t>of the European Parliament and of the Council</w:t>
      </w:r>
      <w:r w:rsidR="00C55A6E">
        <w:rPr>
          <w:rStyle w:val="FootnoteReference"/>
          <w:noProof/>
        </w:rPr>
        <w:footnoteReference w:id="4"/>
      </w:r>
      <w:r w:rsidR="00441B34">
        <w:rPr>
          <w:noProof/>
        </w:rPr>
        <w:t xml:space="preserve"> </w:t>
      </w:r>
      <w:r w:rsidR="000572A2" w:rsidRPr="000572A2">
        <w:rPr>
          <w:noProof/>
        </w:rPr>
        <w:t>and Regulation (EU) No 168/2013</w:t>
      </w:r>
      <w:r w:rsidR="00441B34" w:rsidRPr="00441B34">
        <w:rPr>
          <w:noProof/>
        </w:rPr>
        <w:t xml:space="preserve"> </w:t>
      </w:r>
      <w:r w:rsidR="00441B34" w:rsidRPr="00C54160">
        <w:rPr>
          <w:noProof/>
        </w:rPr>
        <w:t>of the European Parliament and of the Council</w:t>
      </w:r>
      <w:r w:rsidR="00C55A6E">
        <w:rPr>
          <w:rStyle w:val="FootnoteReference"/>
          <w:noProof/>
        </w:rPr>
        <w:footnoteReference w:id="5"/>
      </w:r>
      <w:r w:rsidRPr="006A68D6">
        <w:rPr>
          <w:noProof/>
        </w:rPr>
        <w:t>.</w:t>
      </w:r>
    </w:p>
    <w:p w14:paraId="6DC0D870" w14:textId="3EBD854B" w:rsidR="007F65E5" w:rsidRPr="006A68D6" w:rsidRDefault="007F65E5" w:rsidP="00582AFB">
      <w:pPr>
        <w:pStyle w:val="NumPar3"/>
        <w:rPr>
          <w:noProof/>
        </w:rPr>
      </w:pPr>
      <w:r w:rsidRPr="006A68D6">
        <w:rPr>
          <w:noProof/>
        </w:rPr>
        <w:t>The definition of the necessary measures to improve the safety and comfort of vulnerable road users for all relevant ITS applications</w:t>
      </w:r>
      <w:r w:rsidR="000572A2">
        <w:rPr>
          <w:noProof/>
        </w:rPr>
        <w:t xml:space="preserve"> </w:t>
      </w:r>
      <w:r w:rsidR="000572A2" w:rsidRPr="000572A2">
        <w:rPr>
          <w:noProof/>
        </w:rPr>
        <w:t>which fall outside the scope of Regulation (EU) 2018/858</w:t>
      </w:r>
      <w:r w:rsidR="00441B34" w:rsidRPr="00441B34">
        <w:rPr>
          <w:noProof/>
        </w:rPr>
        <w:t xml:space="preserve"> </w:t>
      </w:r>
      <w:r w:rsidR="00441B34" w:rsidRPr="00537371">
        <w:rPr>
          <w:noProof/>
        </w:rPr>
        <w:t>of the European Parliament and of the Council</w:t>
      </w:r>
      <w:r w:rsidR="000572A2" w:rsidRPr="000572A2">
        <w:rPr>
          <w:noProof/>
        </w:rPr>
        <w:t>, Regulation (EU) No 167/2013</w:t>
      </w:r>
      <w:r w:rsidR="00441B34" w:rsidRPr="00441B34">
        <w:rPr>
          <w:noProof/>
        </w:rPr>
        <w:t xml:space="preserve"> </w:t>
      </w:r>
      <w:r w:rsidR="00441B34" w:rsidRPr="00537371">
        <w:rPr>
          <w:noProof/>
        </w:rPr>
        <w:t>of the European Parliament and of the Council</w:t>
      </w:r>
      <w:r w:rsidR="000572A2" w:rsidRPr="000572A2">
        <w:rPr>
          <w:noProof/>
        </w:rPr>
        <w:t xml:space="preserve"> and Regulation (EU) No 168/2013</w:t>
      </w:r>
      <w:r w:rsidR="00441B34" w:rsidRPr="00441B34">
        <w:rPr>
          <w:noProof/>
        </w:rPr>
        <w:t xml:space="preserve"> </w:t>
      </w:r>
      <w:r w:rsidR="00441B34" w:rsidRPr="00537371">
        <w:rPr>
          <w:noProof/>
        </w:rPr>
        <w:t>of the European Parliament and of the Council</w:t>
      </w:r>
      <w:r w:rsidRPr="006A68D6">
        <w:rPr>
          <w:noProof/>
        </w:rPr>
        <w:t>.</w:t>
      </w:r>
    </w:p>
    <w:p w14:paraId="1A3C23AC" w14:textId="07AF6ED5" w:rsidR="007F65E5" w:rsidRPr="006A68D6" w:rsidRDefault="007F65E5" w:rsidP="00582AFB">
      <w:pPr>
        <w:pStyle w:val="NumPar3"/>
        <w:rPr>
          <w:noProof/>
        </w:rPr>
      </w:pPr>
      <w:r w:rsidRPr="006A68D6">
        <w:rPr>
          <w:noProof/>
        </w:rPr>
        <w:t xml:space="preserve">The definition of necessary measures to integrate advanced driver support information systems into vehicles and road infrastructure which fall outside the scope of </w:t>
      </w:r>
      <w:r w:rsidRPr="00021807">
        <w:rPr>
          <w:noProof/>
        </w:rPr>
        <w:t>Regulation (EU) 2018/858</w:t>
      </w:r>
      <w:r w:rsidR="00441B34" w:rsidRPr="00441B34">
        <w:rPr>
          <w:noProof/>
        </w:rPr>
        <w:t xml:space="preserve"> </w:t>
      </w:r>
      <w:r w:rsidR="00441B34" w:rsidRPr="00537371">
        <w:rPr>
          <w:noProof/>
        </w:rPr>
        <w:t>of the European Parliament and of the Council</w:t>
      </w:r>
      <w:r>
        <w:rPr>
          <w:noProof/>
        </w:rPr>
        <w:t xml:space="preserve">, </w:t>
      </w:r>
      <w:r w:rsidRPr="00021807">
        <w:rPr>
          <w:noProof/>
        </w:rPr>
        <w:t>Regulation (EU) No 16</w:t>
      </w:r>
      <w:r>
        <w:rPr>
          <w:noProof/>
        </w:rPr>
        <w:t>7</w:t>
      </w:r>
      <w:r w:rsidRPr="00021807">
        <w:rPr>
          <w:noProof/>
        </w:rPr>
        <w:t xml:space="preserve">/2013 </w:t>
      </w:r>
      <w:r w:rsidR="00441B34" w:rsidRPr="00537371">
        <w:rPr>
          <w:noProof/>
        </w:rPr>
        <w:t>of the European Parliament and of the Council</w:t>
      </w:r>
      <w:r w:rsidR="00441B34" w:rsidRPr="001F3C74">
        <w:rPr>
          <w:noProof/>
        </w:rPr>
        <w:t xml:space="preserve"> </w:t>
      </w:r>
      <w:r w:rsidRPr="001F3C74">
        <w:rPr>
          <w:noProof/>
        </w:rPr>
        <w:t xml:space="preserve">and </w:t>
      </w:r>
      <w:r w:rsidRPr="00021807">
        <w:rPr>
          <w:noProof/>
        </w:rPr>
        <w:t>Regulation (EU) No 168/2013</w:t>
      </w:r>
      <w:r w:rsidR="00441B34" w:rsidRPr="00441B34">
        <w:rPr>
          <w:noProof/>
        </w:rPr>
        <w:t xml:space="preserve"> </w:t>
      </w:r>
      <w:r w:rsidR="00441B34" w:rsidRPr="00537371">
        <w:rPr>
          <w:noProof/>
        </w:rPr>
        <w:t>of the European Parliament and of the Council</w:t>
      </w:r>
      <w:r w:rsidRPr="006A68D6">
        <w:rPr>
          <w:noProof/>
        </w:rPr>
        <w:t>.</w:t>
      </w:r>
    </w:p>
    <w:p w14:paraId="10312F04" w14:textId="6BB7B9BD" w:rsidR="007F65E5" w:rsidRPr="006A68D6" w:rsidRDefault="007F65E5" w:rsidP="00582AFB">
      <w:pPr>
        <w:pStyle w:val="NumPar3"/>
        <w:rPr>
          <w:noProof/>
        </w:rPr>
      </w:pPr>
      <w:r w:rsidRPr="006A68D6">
        <w:rPr>
          <w:noProof/>
        </w:rPr>
        <w:t>The definition of the necessary measures to facilitate the exchange of information between services providers of security ITS applications, such as support to recover stolen vehicles or goods, and relevant public authorities</w:t>
      </w:r>
      <w:r w:rsidR="009271CD">
        <w:rPr>
          <w:noProof/>
        </w:rPr>
        <w:t xml:space="preserve">, </w:t>
      </w:r>
      <w:r w:rsidR="009271CD" w:rsidRPr="009271CD">
        <w:rPr>
          <w:noProof/>
        </w:rPr>
        <w:t xml:space="preserve">taking due account of other existing and emerging </w:t>
      </w:r>
      <w:r w:rsidR="009271CD">
        <w:rPr>
          <w:noProof/>
        </w:rPr>
        <w:t xml:space="preserve">frameworks aimed </w:t>
      </w:r>
      <w:r w:rsidR="006452E2">
        <w:rPr>
          <w:noProof/>
        </w:rPr>
        <w:t xml:space="preserve">at </w:t>
      </w:r>
      <w:r w:rsidR="009271CD">
        <w:rPr>
          <w:noProof/>
        </w:rPr>
        <w:t>facilitat</w:t>
      </w:r>
      <w:r w:rsidR="006452E2">
        <w:rPr>
          <w:noProof/>
        </w:rPr>
        <w:t>ing</w:t>
      </w:r>
      <w:r w:rsidR="009271CD">
        <w:rPr>
          <w:noProof/>
        </w:rPr>
        <w:t xml:space="preserve"> </w:t>
      </w:r>
      <w:r w:rsidR="009271CD" w:rsidRPr="009271CD">
        <w:rPr>
          <w:noProof/>
        </w:rPr>
        <w:t>data sharing in mobility and transport</w:t>
      </w:r>
      <w:r w:rsidR="000572A2">
        <w:rPr>
          <w:noProof/>
        </w:rPr>
        <w:t xml:space="preserve"> </w:t>
      </w:r>
      <w:r w:rsidR="000572A2" w:rsidRPr="000572A2">
        <w:rPr>
          <w:noProof/>
        </w:rPr>
        <w:t>which fall outside the scope of Regulation (EU) 2018/858</w:t>
      </w:r>
      <w:r w:rsidR="00ED54FF" w:rsidRPr="00ED54FF">
        <w:rPr>
          <w:noProof/>
        </w:rPr>
        <w:t xml:space="preserve"> </w:t>
      </w:r>
      <w:r w:rsidR="00ED54FF" w:rsidRPr="00537371">
        <w:rPr>
          <w:noProof/>
        </w:rPr>
        <w:t>of the European Parliament and of the Council</w:t>
      </w:r>
      <w:r w:rsidR="000572A2" w:rsidRPr="000572A2">
        <w:rPr>
          <w:noProof/>
        </w:rPr>
        <w:t>, Regulation (EU) No 167/2013</w:t>
      </w:r>
      <w:r w:rsidR="00ED54FF" w:rsidRPr="00ED54FF">
        <w:rPr>
          <w:noProof/>
        </w:rPr>
        <w:t xml:space="preserve"> </w:t>
      </w:r>
      <w:r w:rsidR="00ED54FF" w:rsidRPr="00537371">
        <w:rPr>
          <w:noProof/>
        </w:rPr>
        <w:t>of the European Parliament and of the Council</w:t>
      </w:r>
      <w:r w:rsidR="000572A2" w:rsidRPr="000572A2">
        <w:rPr>
          <w:noProof/>
        </w:rPr>
        <w:t xml:space="preserve"> and Regulation (EU) No 168/2013</w:t>
      </w:r>
      <w:r w:rsidR="00ED54FF" w:rsidRPr="00ED54FF">
        <w:rPr>
          <w:noProof/>
        </w:rPr>
        <w:t xml:space="preserve"> </w:t>
      </w:r>
      <w:r w:rsidR="00ED54FF" w:rsidRPr="00537371">
        <w:rPr>
          <w:noProof/>
        </w:rPr>
        <w:t>of the European Parliament and of the Council</w:t>
      </w:r>
      <w:r w:rsidRPr="006A68D6">
        <w:rPr>
          <w:noProof/>
        </w:rPr>
        <w:t>.</w:t>
      </w:r>
    </w:p>
    <w:p w14:paraId="7FFCDADD" w14:textId="1D04E216" w:rsidR="007F65E5" w:rsidRPr="006A68D6" w:rsidRDefault="007F65E5" w:rsidP="00582AFB">
      <w:pPr>
        <w:pStyle w:val="NumPar1"/>
        <w:rPr>
          <w:noProof/>
        </w:rPr>
      </w:pPr>
      <w:r w:rsidRPr="006A68D6">
        <w:rPr>
          <w:noProof/>
        </w:rPr>
        <w:t xml:space="preserve">Priority area IV: Cooperative, </w:t>
      </w:r>
      <w:r w:rsidR="00E17965">
        <w:rPr>
          <w:noProof/>
        </w:rPr>
        <w:t>c</w:t>
      </w:r>
      <w:r w:rsidRPr="006A68D6">
        <w:rPr>
          <w:noProof/>
        </w:rPr>
        <w:t xml:space="preserve">onnected and </w:t>
      </w:r>
      <w:r w:rsidR="00E17965">
        <w:rPr>
          <w:noProof/>
        </w:rPr>
        <w:t>a</w:t>
      </w:r>
      <w:r w:rsidRPr="006A68D6">
        <w:rPr>
          <w:noProof/>
        </w:rPr>
        <w:t xml:space="preserve">utomated </w:t>
      </w:r>
      <w:r w:rsidR="00E17965">
        <w:rPr>
          <w:noProof/>
        </w:rPr>
        <w:t>m</w:t>
      </w:r>
      <w:r w:rsidRPr="006A68D6">
        <w:rPr>
          <w:noProof/>
        </w:rPr>
        <w:t>obility services</w:t>
      </w:r>
    </w:p>
    <w:p w14:paraId="22653B23" w14:textId="19E3A82D" w:rsidR="007F65E5" w:rsidRPr="006A68D6" w:rsidRDefault="007F65E5" w:rsidP="007F65E5">
      <w:pPr>
        <w:rPr>
          <w:noProof/>
        </w:rPr>
      </w:pPr>
      <w:r w:rsidRPr="006A68D6">
        <w:rPr>
          <w:noProof/>
        </w:rPr>
        <w:t>The specifications and standards for linking vehicles with the transport infrastructure</w:t>
      </w:r>
      <w:r w:rsidR="00BC05E7">
        <w:rPr>
          <w:noProof/>
        </w:rPr>
        <w:t>, raising awareness and enabling highly automated mobility services,</w:t>
      </w:r>
      <w:r w:rsidRPr="006A68D6">
        <w:rPr>
          <w:noProof/>
        </w:rPr>
        <w:t xml:space="preserve"> shall include the following</w:t>
      </w:r>
      <w:r w:rsidR="000572A2">
        <w:rPr>
          <w:noProof/>
        </w:rPr>
        <w:t xml:space="preserve">, </w:t>
      </w:r>
      <w:r w:rsidR="000572A2" w:rsidRPr="000572A2">
        <w:rPr>
          <w:noProof/>
        </w:rPr>
        <w:t>without prejudice to specifications and standards in Regulation (EU) 2018/858</w:t>
      </w:r>
      <w:r w:rsidR="006452E2" w:rsidRPr="006452E2">
        <w:rPr>
          <w:noProof/>
        </w:rPr>
        <w:t xml:space="preserve"> </w:t>
      </w:r>
      <w:r w:rsidR="006452E2" w:rsidRPr="00537371">
        <w:rPr>
          <w:noProof/>
        </w:rPr>
        <w:t>of the European Parliament and of the Council</w:t>
      </w:r>
      <w:r w:rsidR="000572A2" w:rsidRPr="000572A2">
        <w:rPr>
          <w:noProof/>
        </w:rPr>
        <w:t xml:space="preserve">, Regulation (EU) No 167/2013 </w:t>
      </w:r>
      <w:r w:rsidR="006452E2" w:rsidRPr="00537371">
        <w:rPr>
          <w:noProof/>
        </w:rPr>
        <w:t>of the European Parliament and of the Council</w:t>
      </w:r>
      <w:r w:rsidR="006452E2" w:rsidRPr="000572A2">
        <w:rPr>
          <w:noProof/>
        </w:rPr>
        <w:t xml:space="preserve"> </w:t>
      </w:r>
      <w:r w:rsidR="000572A2" w:rsidRPr="000572A2">
        <w:rPr>
          <w:noProof/>
        </w:rPr>
        <w:t>and Regulation (EU) No 168/2013</w:t>
      </w:r>
      <w:r w:rsidR="006452E2" w:rsidRPr="006452E2">
        <w:rPr>
          <w:noProof/>
        </w:rPr>
        <w:t xml:space="preserve"> </w:t>
      </w:r>
      <w:r w:rsidR="006452E2" w:rsidRPr="00537371">
        <w:rPr>
          <w:noProof/>
        </w:rPr>
        <w:t>of the European Parliament and of the Council</w:t>
      </w:r>
      <w:r w:rsidRPr="006A68D6">
        <w:rPr>
          <w:noProof/>
        </w:rPr>
        <w:t>:</w:t>
      </w:r>
    </w:p>
    <w:p w14:paraId="209A6218" w14:textId="3338FD79" w:rsidR="007F65E5" w:rsidRPr="006A68D6" w:rsidRDefault="007F65E5" w:rsidP="00582AFB">
      <w:pPr>
        <w:pStyle w:val="NumPar2"/>
        <w:rPr>
          <w:noProof/>
        </w:rPr>
      </w:pPr>
      <w:r w:rsidRPr="006A68D6">
        <w:rPr>
          <w:noProof/>
        </w:rPr>
        <w:t xml:space="preserve">The definition of necessary measures to further progress the development and implementation of cooperative (vehicle-vehicle, vehicle-infrastructure, infrastructure-infrastructure) </w:t>
      </w:r>
      <w:r>
        <w:rPr>
          <w:noProof/>
        </w:rPr>
        <w:t xml:space="preserve">intelligent transport </w:t>
      </w:r>
      <w:r w:rsidRPr="006A68D6">
        <w:rPr>
          <w:noProof/>
        </w:rPr>
        <w:t>systems, based on:</w:t>
      </w:r>
    </w:p>
    <w:p w14:paraId="5DB1E4EB" w14:textId="53911DBE" w:rsidR="007F65E5" w:rsidRPr="006A68D6" w:rsidRDefault="007F65E5" w:rsidP="00304BFB">
      <w:pPr>
        <w:pStyle w:val="NumPar3"/>
        <w:rPr>
          <w:noProof/>
        </w:rPr>
      </w:pPr>
      <w:r w:rsidRPr="006A68D6">
        <w:rPr>
          <w:noProof/>
        </w:rPr>
        <w:t xml:space="preserve">the facilitation of the exchange of data or information between vehicles, </w:t>
      </w:r>
      <w:r w:rsidR="0009561A">
        <w:rPr>
          <w:noProof/>
        </w:rPr>
        <w:t xml:space="preserve">between </w:t>
      </w:r>
      <w:r w:rsidRPr="006A68D6">
        <w:rPr>
          <w:noProof/>
        </w:rPr>
        <w:t>infrastructures and between vehicle</w:t>
      </w:r>
      <w:r w:rsidR="0009561A">
        <w:rPr>
          <w:noProof/>
        </w:rPr>
        <w:t>s</w:t>
      </w:r>
      <w:r w:rsidRPr="006A68D6">
        <w:rPr>
          <w:noProof/>
        </w:rPr>
        <w:t xml:space="preserve"> and infrastructure</w:t>
      </w:r>
      <w:r w:rsidR="0009561A">
        <w:rPr>
          <w:noProof/>
        </w:rPr>
        <w:t>s</w:t>
      </w:r>
      <w:r w:rsidR="00533DDF">
        <w:rPr>
          <w:noProof/>
        </w:rPr>
        <w:t>;</w:t>
      </w:r>
    </w:p>
    <w:p w14:paraId="0CA8000A" w14:textId="18060806" w:rsidR="007F65E5" w:rsidRPr="006A68D6" w:rsidRDefault="007F65E5" w:rsidP="00582AFB">
      <w:pPr>
        <w:pStyle w:val="NumPar3"/>
        <w:rPr>
          <w:noProof/>
        </w:rPr>
      </w:pPr>
      <w:r w:rsidRPr="006A68D6">
        <w:rPr>
          <w:noProof/>
        </w:rPr>
        <w:t>the availability of the relevant data or information to be exchanged to the respective vehicle or road infrastructure parties</w:t>
      </w:r>
      <w:r w:rsidR="00533DDF">
        <w:rPr>
          <w:noProof/>
        </w:rPr>
        <w:t>;</w:t>
      </w:r>
    </w:p>
    <w:p w14:paraId="24162BFE" w14:textId="3A6E83D4" w:rsidR="007F65E5" w:rsidRPr="006A68D6" w:rsidRDefault="007F65E5" w:rsidP="00582AFB">
      <w:pPr>
        <w:pStyle w:val="NumPar3"/>
        <w:rPr>
          <w:noProof/>
        </w:rPr>
      </w:pPr>
      <w:r w:rsidRPr="006A68D6">
        <w:rPr>
          <w:noProof/>
        </w:rPr>
        <w:t>the use of a standardised message format for the exchange of data or information between the vehicle and the infrastructure</w:t>
      </w:r>
      <w:r w:rsidR="00533DDF">
        <w:rPr>
          <w:noProof/>
        </w:rPr>
        <w:t>;</w:t>
      </w:r>
    </w:p>
    <w:p w14:paraId="01A27722" w14:textId="3CC437F4" w:rsidR="007F65E5" w:rsidRPr="006A68D6" w:rsidRDefault="007F65E5" w:rsidP="00582AFB">
      <w:pPr>
        <w:pStyle w:val="NumPar3"/>
        <w:rPr>
          <w:noProof/>
        </w:rPr>
      </w:pPr>
      <w:r w:rsidRPr="006A68D6">
        <w:rPr>
          <w:noProof/>
        </w:rPr>
        <w:t xml:space="preserve">the definition of a communication infrastructure for data or information exchange between vehicles, </w:t>
      </w:r>
      <w:r w:rsidR="0009561A">
        <w:rPr>
          <w:noProof/>
        </w:rPr>
        <w:t xml:space="preserve">between </w:t>
      </w:r>
      <w:r w:rsidRPr="006A68D6">
        <w:rPr>
          <w:noProof/>
        </w:rPr>
        <w:t>infrastructures and between vehicle</w:t>
      </w:r>
      <w:r w:rsidR="0009561A">
        <w:rPr>
          <w:noProof/>
        </w:rPr>
        <w:t>s</w:t>
      </w:r>
      <w:r w:rsidRPr="006A68D6">
        <w:rPr>
          <w:noProof/>
        </w:rPr>
        <w:t xml:space="preserve"> and infrastructure</w:t>
      </w:r>
      <w:r w:rsidR="0009561A">
        <w:rPr>
          <w:noProof/>
        </w:rPr>
        <w:t>s</w:t>
      </w:r>
      <w:r w:rsidR="00533DDF">
        <w:rPr>
          <w:noProof/>
        </w:rPr>
        <w:t>;</w:t>
      </w:r>
    </w:p>
    <w:p w14:paraId="50C10E3F" w14:textId="77777777" w:rsidR="007F65E5" w:rsidRPr="006A68D6" w:rsidRDefault="007F65E5" w:rsidP="00582AFB">
      <w:pPr>
        <w:pStyle w:val="NumPar3"/>
        <w:rPr>
          <w:noProof/>
        </w:rPr>
      </w:pPr>
      <w:r w:rsidRPr="006A68D6">
        <w:rPr>
          <w:noProof/>
        </w:rPr>
        <w:t>the use of standardisation processes to adopt the respective architectures.</w:t>
      </w:r>
    </w:p>
    <w:p w14:paraId="194C57E3" w14:textId="7BCA3EF4" w:rsidR="007F65E5" w:rsidRPr="00364296" w:rsidRDefault="007F65E5" w:rsidP="00582AFB">
      <w:pPr>
        <w:pStyle w:val="NumPar2"/>
        <w:rPr>
          <w:noProof/>
        </w:rPr>
      </w:pPr>
      <w:r>
        <w:rPr>
          <w:noProof/>
        </w:rPr>
        <w:t xml:space="preserve">Specifications for </w:t>
      </w:r>
      <w:r w:rsidR="005C06C1">
        <w:rPr>
          <w:noProof/>
        </w:rPr>
        <w:t>s</w:t>
      </w:r>
      <w:r w:rsidRPr="00364296">
        <w:rPr>
          <w:noProof/>
        </w:rPr>
        <w:t>ervices</w:t>
      </w:r>
    </w:p>
    <w:p w14:paraId="20D46BF8" w14:textId="51C89A04" w:rsidR="007F65E5" w:rsidRPr="006A68D6" w:rsidRDefault="007F65E5" w:rsidP="00304BFB">
      <w:pPr>
        <w:pStyle w:val="NumPar3"/>
        <w:rPr>
          <w:noProof/>
        </w:rPr>
      </w:pPr>
      <w:r w:rsidRPr="006A68D6">
        <w:rPr>
          <w:noProof/>
        </w:rPr>
        <w:t xml:space="preserve">C-ITS </w:t>
      </w:r>
      <w:r>
        <w:rPr>
          <w:noProof/>
        </w:rPr>
        <w:t xml:space="preserve">information and warning </w:t>
      </w:r>
      <w:r w:rsidRPr="006A68D6">
        <w:rPr>
          <w:noProof/>
        </w:rPr>
        <w:t xml:space="preserve">services </w:t>
      </w:r>
      <w:r>
        <w:rPr>
          <w:noProof/>
        </w:rPr>
        <w:t xml:space="preserve">based on status data that increase </w:t>
      </w:r>
      <w:r w:rsidR="0009561A">
        <w:rPr>
          <w:noProof/>
        </w:rPr>
        <w:t xml:space="preserve">the </w:t>
      </w:r>
      <w:r w:rsidRPr="0097304C">
        <w:rPr>
          <w:noProof/>
        </w:rPr>
        <w:t xml:space="preserve">awareness </w:t>
      </w:r>
      <w:r>
        <w:rPr>
          <w:noProof/>
        </w:rPr>
        <w:t>of transport users o</w:t>
      </w:r>
      <w:r w:rsidR="0009561A">
        <w:rPr>
          <w:noProof/>
        </w:rPr>
        <w:t>f</w:t>
      </w:r>
      <w:r>
        <w:rPr>
          <w:noProof/>
        </w:rPr>
        <w:t xml:space="preserve"> upcoming traffic situations</w:t>
      </w:r>
      <w:r w:rsidR="002E57E6">
        <w:rPr>
          <w:noProof/>
        </w:rPr>
        <w:t>;</w:t>
      </w:r>
    </w:p>
    <w:p w14:paraId="103ECE08" w14:textId="3D9A05EC" w:rsidR="007F65E5" w:rsidRPr="006A68D6" w:rsidRDefault="007F65E5" w:rsidP="00582AFB">
      <w:pPr>
        <w:pStyle w:val="NumPar3"/>
        <w:rPr>
          <w:noProof/>
        </w:rPr>
      </w:pPr>
      <w:r w:rsidRPr="006A68D6">
        <w:rPr>
          <w:noProof/>
        </w:rPr>
        <w:t xml:space="preserve">C-ITS </w:t>
      </w:r>
      <w:r>
        <w:rPr>
          <w:noProof/>
        </w:rPr>
        <w:t xml:space="preserve">information and warning services based on observations that further increase </w:t>
      </w:r>
      <w:r w:rsidR="0009561A">
        <w:rPr>
          <w:noProof/>
        </w:rPr>
        <w:t xml:space="preserve">the </w:t>
      </w:r>
      <w:r w:rsidRPr="00241775">
        <w:rPr>
          <w:noProof/>
        </w:rPr>
        <w:t>awareness of transport users on upcoming traffic situations</w:t>
      </w:r>
      <w:r>
        <w:rPr>
          <w:noProof/>
        </w:rPr>
        <w:t>, including non-connected transport users</w:t>
      </w:r>
      <w:r w:rsidR="002E57E6">
        <w:rPr>
          <w:noProof/>
        </w:rPr>
        <w:t>;</w:t>
      </w:r>
    </w:p>
    <w:p w14:paraId="5472C094" w14:textId="70FA11E2" w:rsidR="007F65E5" w:rsidRDefault="007F65E5" w:rsidP="00582AFB">
      <w:pPr>
        <w:pStyle w:val="NumPar3"/>
        <w:rPr>
          <w:noProof/>
        </w:rPr>
      </w:pPr>
      <w:r>
        <w:rPr>
          <w:noProof/>
        </w:rPr>
        <w:t xml:space="preserve">C-ITS </w:t>
      </w:r>
      <w:r w:rsidRPr="006A68D6">
        <w:rPr>
          <w:noProof/>
        </w:rPr>
        <w:t xml:space="preserve">services </w:t>
      </w:r>
      <w:r>
        <w:rPr>
          <w:noProof/>
        </w:rPr>
        <w:t>based on intentions that allow vehicles to deal with complex traffic scenarios and enable highly automated driving</w:t>
      </w:r>
      <w:r w:rsidR="002E57E6">
        <w:rPr>
          <w:noProof/>
        </w:rPr>
        <w:t>;</w:t>
      </w:r>
    </w:p>
    <w:p w14:paraId="5152C608" w14:textId="6885F59C" w:rsidR="007F65E5" w:rsidRPr="006A68D6" w:rsidRDefault="007F65E5" w:rsidP="00582AFB">
      <w:pPr>
        <w:pStyle w:val="NumPar3"/>
        <w:rPr>
          <w:noProof/>
        </w:rPr>
      </w:pPr>
      <w:r>
        <w:rPr>
          <w:noProof/>
        </w:rPr>
        <w:t xml:space="preserve">C-ITS infrastructure services </w:t>
      </w:r>
      <w:r w:rsidR="0009561A">
        <w:rPr>
          <w:noProof/>
        </w:rPr>
        <w:t xml:space="preserve">to </w:t>
      </w:r>
      <w:r>
        <w:rPr>
          <w:noProof/>
        </w:rPr>
        <w:t>support automated driving</w:t>
      </w:r>
      <w:r w:rsidR="005F0D28">
        <w:rPr>
          <w:noProof/>
        </w:rPr>
        <w:t>.</w:t>
      </w:r>
    </w:p>
    <w:p w14:paraId="6F83F9B2" w14:textId="7ED819C2" w:rsidR="007F65E5" w:rsidRDefault="007F65E5" w:rsidP="00582AFB">
      <w:pPr>
        <w:pStyle w:val="NumPar2"/>
        <w:rPr>
          <w:noProof/>
        </w:rPr>
      </w:pPr>
      <w:r>
        <w:rPr>
          <w:noProof/>
        </w:rPr>
        <w:t xml:space="preserve">Specifications for the </w:t>
      </w:r>
      <w:r w:rsidRPr="006A68D6">
        <w:rPr>
          <w:noProof/>
        </w:rPr>
        <w:t>EU C-ITS security credential management system</w:t>
      </w:r>
    </w:p>
    <w:p w14:paraId="350F04DF" w14:textId="35AF9F5F" w:rsidR="007F65E5" w:rsidRDefault="005A1D00" w:rsidP="00304BFB">
      <w:pPr>
        <w:pStyle w:val="NumPar3"/>
        <w:rPr>
          <w:noProof/>
        </w:rPr>
      </w:pPr>
      <w:r>
        <w:rPr>
          <w:noProof/>
        </w:rPr>
        <w:t>c</w:t>
      </w:r>
      <w:r w:rsidR="007F65E5">
        <w:rPr>
          <w:noProof/>
        </w:rPr>
        <w:t xml:space="preserve">ertificate policy </w:t>
      </w:r>
      <w:r w:rsidR="007F65E5" w:rsidRPr="00804A74">
        <w:rPr>
          <w:noProof/>
        </w:rPr>
        <w:t>for the management of public key certificates for C-ITS services</w:t>
      </w:r>
      <w:r w:rsidR="002E57E6">
        <w:rPr>
          <w:noProof/>
        </w:rPr>
        <w:t>;</w:t>
      </w:r>
    </w:p>
    <w:p w14:paraId="3BDBEC2C" w14:textId="66A31FA9" w:rsidR="00CC2F2D" w:rsidRDefault="00CC2F2D" w:rsidP="00582AFB">
      <w:pPr>
        <w:pStyle w:val="NumPar3"/>
        <w:rPr>
          <w:noProof/>
        </w:rPr>
      </w:pPr>
      <w:r w:rsidRPr="00CC2F2D">
        <w:rPr>
          <w:noProof/>
        </w:rPr>
        <w:t>laying down the role of the C-ITS certificate policy authority, the C-ITS trust list manager and the C-ITS point of contact;</w:t>
      </w:r>
    </w:p>
    <w:p w14:paraId="1C3AA55F" w14:textId="06D28400" w:rsidR="007F65E5" w:rsidRDefault="005A1D00" w:rsidP="00582AFB">
      <w:pPr>
        <w:pStyle w:val="NumPar3"/>
        <w:rPr>
          <w:noProof/>
        </w:rPr>
      </w:pPr>
      <w:r>
        <w:rPr>
          <w:noProof/>
        </w:rPr>
        <w:t>s</w:t>
      </w:r>
      <w:r w:rsidR="007F65E5">
        <w:rPr>
          <w:noProof/>
        </w:rPr>
        <w:t xml:space="preserve">ecurity policy </w:t>
      </w:r>
      <w:r w:rsidR="007F65E5" w:rsidRPr="00804A74">
        <w:rPr>
          <w:noProof/>
        </w:rPr>
        <w:t>for the management of information security in C-ITS</w:t>
      </w:r>
      <w:r w:rsidR="005F0D28">
        <w:rPr>
          <w:noProof/>
        </w:rPr>
        <w:t>.</w:t>
      </w:r>
      <w:r w:rsidR="00905991">
        <w:rPr>
          <w:noProof/>
        </w:rPr>
        <w:t>’.</w:t>
      </w:r>
    </w:p>
    <w:p w14:paraId="10E6F67F" w14:textId="65FB496B" w:rsidR="005E3158" w:rsidRPr="007F65E5" w:rsidRDefault="005E3158" w:rsidP="00C55A6E">
      <w:pPr>
        <w:rPr>
          <w:noProof/>
        </w:rPr>
        <w:sectPr w:rsidR="005E3158" w:rsidRPr="007F65E5" w:rsidSect="004209E8">
          <w:footerReference w:type="default" r:id="rId24"/>
          <w:footerReference w:type="first" r:id="rId25"/>
          <w:pgSz w:w="11907" w:h="16839"/>
          <w:pgMar w:top="1134" w:right="1417" w:bottom="1134" w:left="1417" w:header="709" w:footer="709" w:gutter="0"/>
          <w:cols w:space="720"/>
          <w:docGrid w:linePitch="360"/>
        </w:sectPr>
      </w:pPr>
    </w:p>
    <w:p w14:paraId="078B1678" w14:textId="61E71EF3" w:rsidR="00B37414" w:rsidRDefault="00B37414" w:rsidP="00B37414">
      <w:pPr>
        <w:pStyle w:val="Annexetitre"/>
        <w:rPr>
          <w:noProof/>
        </w:rPr>
      </w:pPr>
      <w:r w:rsidRPr="0050709C">
        <w:rPr>
          <w:noProof/>
          <w:u w:val="none"/>
        </w:rPr>
        <w:t xml:space="preserve">ANNEX </w:t>
      </w:r>
      <w:r w:rsidR="00216D97" w:rsidRPr="00582AFB">
        <w:rPr>
          <w:noProof/>
          <w:u w:val="none"/>
        </w:rPr>
        <w:t>II</w:t>
      </w:r>
    </w:p>
    <w:p w14:paraId="7DE9B323" w14:textId="77777777" w:rsidR="00B20F13" w:rsidRPr="007E6103" w:rsidRDefault="00B20F13" w:rsidP="007E6103">
      <w:pPr>
        <w:jc w:val="center"/>
        <w:rPr>
          <w:b/>
          <w:noProof/>
        </w:rPr>
      </w:pPr>
      <w:r w:rsidRPr="007E6103">
        <w:rPr>
          <w:b/>
          <w:noProof/>
        </w:rPr>
        <w:t>PRINCIPLES FOR SPECIFICATIONS AND DEPLOYMENT OF ITS</w:t>
      </w:r>
    </w:p>
    <w:p w14:paraId="098A32BD" w14:textId="77777777" w:rsidR="00B20F13" w:rsidRPr="007E6103" w:rsidRDefault="00B20F13" w:rsidP="007E6103">
      <w:pPr>
        <w:jc w:val="center"/>
        <w:rPr>
          <w:b/>
          <w:noProof/>
        </w:rPr>
      </w:pPr>
      <w:r w:rsidRPr="007E6103">
        <w:rPr>
          <w:b/>
          <w:noProof/>
        </w:rPr>
        <w:t>(as referred to in Articles 5, 6</w:t>
      </w:r>
      <w:r w:rsidR="00B575B8" w:rsidRPr="007E6103">
        <w:rPr>
          <w:b/>
          <w:noProof/>
        </w:rPr>
        <w:t>, 7</w:t>
      </w:r>
      <w:r w:rsidRPr="007E6103">
        <w:rPr>
          <w:b/>
          <w:noProof/>
        </w:rPr>
        <w:t xml:space="preserve"> and 8)</w:t>
      </w:r>
    </w:p>
    <w:p w14:paraId="15C93B3A" w14:textId="77777777" w:rsidR="00B20F13" w:rsidRPr="007E6103" w:rsidRDefault="00B20F13" w:rsidP="007E6103">
      <w:pPr>
        <w:jc w:val="center"/>
        <w:rPr>
          <w:b/>
          <w:noProof/>
        </w:rPr>
      </w:pPr>
    </w:p>
    <w:p w14:paraId="63F1ED3F" w14:textId="77777777" w:rsidR="00B20F13" w:rsidRDefault="00B20F13" w:rsidP="00B20F13">
      <w:pPr>
        <w:rPr>
          <w:noProof/>
          <w:lang w:val="fr-FR" w:eastAsia="en-GB"/>
        </w:rPr>
      </w:pPr>
      <w:r w:rsidRPr="006A68D6">
        <w:rPr>
          <w:noProof/>
          <w:lang w:eastAsia="en-GB"/>
        </w:rPr>
        <w:t xml:space="preserve">The adoption of specifications, the issuing of mandates for standards and the selection and deployment of ITS applications and services shall be based upon an evaluation of needs involving all relevant stakeholders, and shall comply with the following principles. </w:t>
      </w:r>
      <w:r w:rsidRPr="00B20F13">
        <w:rPr>
          <w:noProof/>
          <w:lang w:val="fr-FR" w:eastAsia="en-GB"/>
        </w:rPr>
        <w:t>These measures shall:</w:t>
      </w:r>
    </w:p>
    <w:tbl>
      <w:tblPr>
        <w:tblW w:w="0" w:type="auto"/>
        <w:tblLayout w:type="fixed"/>
        <w:tblLook w:val="0000" w:firstRow="0" w:lastRow="0" w:firstColumn="0" w:lastColumn="0" w:noHBand="0" w:noVBand="0"/>
      </w:tblPr>
      <w:tblGrid>
        <w:gridCol w:w="650"/>
        <w:gridCol w:w="1950"/>
        <w:gridCol w:w="557"/>
        <w:gridCol w:w="6129"/>
      </w:tblGrid>
      <w:tr w:rsidR="00A43DDD" w:rsidRPr="006A68D6" w14:paraId="51C34286" w14:textId="77777777" w:rsidTr="00304BFB">
        <w:tc>
          <w:tcPr>
            <w:tcW w:w="650" w:type="dxa"/>
            <w:tcBorders>
              <w:top w:val="single" w:sz="2" w:space="0" w:color="auto"/>
              <w:left w:val="single" w:sz="2" w:space="0" w:color="auto"/>
              <w:bottom w:val="single" w:sz="2" w:space="0" w:color="auto"/>
              <w:right w:val="single" w:sz="2" w:space="0" w:color="auto"/>
            </w:tcBorders>
          </w:tcPr>
          <w:p w14:paraId="5327672C"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(a)</w:t>
            </w:r>
          </w:p>
        </w:tc>
        <w:tc>
          <w:tcPr>
            <w:tcW w:w="1950" w:type="dxa"/>
            <w:tcBorders>
              <w:top w:val="single" w:sz="2" w:space="0" w:color="auto"/>
              <w:left w:val="single" w:sz="2" w:space="0" w:color="auto"/>
              <w:bottom w:val="single" w:sz="2" w:space="0" w:color="auto"/>
              <w:right w:val="single" w:sz="2" w:space="0" w:color="auto"/>
            </w:tcBorders>
          </w:tcPr>
          <w:p w14:paraId="29ADE24B" w14:textId="7917F7B7"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b</w:t>
            </w:r>
            <w:r w:rsidR="00A43DDD" w:rsidRPr="00D15BDB">
              <w:rPr>
                <w:rFonts w:eastAsiaTheme="minorEastAsia"/>
                <w:noProof/>
                <w:szCs w:val="24"/>
                <w:lang w:eastAsia="en-GB"/>
              </w:rPr>
              <w:t>e effective</w:t>
            </w:r>
          </w:p>
        </w:tc>
        <w:tc>
          <w:tcPr>
            <w:tcW w:w="557" w:type="dxa"/>
            <w:tcBorders>
              <w:top w:val="single" w:sz="2" w:space="0" w:color="auto"/>
              <w:left w:val="single" w:sz="2" w:space="0" w:color="auto"/>
              <w:bottom w:val="single" w:sz="2" w:space="0" w:color="auto"/>
              <w:right w:val="single" w:sz="2" w:space="0" w:color="auto"/>
            </w:tcBorders>
          </w:tcPr>
          <w:p w14:paraId="0ECF32E3"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3DDFE790"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make a tangible contribution towards solving the key challenges affecting road transportation in Europe (e.g. reducing congestion, lowering of emissions, improving energy efficiency, attaining higher levels of safety and security including vulnerable road users);</w:t>
            </w:r>
          </w:p>
        </w:tc>
      </w:tr>
      <w:tr w:rsidR="00A43DDD" w:rsidRPr="006A68D6" w14:paraId="1B92F42F" w14:textId="77777777" w:rsidTr="00304BFB">
        <w:tc>
          <w:tcPr>
            <w:tcW w:w="650" w:type="dxa"/>
            <w:tcBorders>
              <w:top w:val="single" w:sz="2" w:space="0" w:color="auto"/>
              <w:left w:val="single" w:sz="2" w:space="0" w:color="auto"/>
              <w:bottom w:val="single" w:sz="2" w:space="0" w:color="auto"/>
              <w:right w:val="single" w:sz="2" w:space="0" w:color="auto"/>
            </w:tcBorders>
          </w:tcPr>
          <w:p w14:paraId="4ADBE5E5"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(b)</w:t>
            </w:r>
          </w:p>
        </w:tc>
        <w:tc>
          <w:tcPr>
            <w:tcW w:w="1950" w:type="dxa"/>
            <w:tcBorders>
              <w:top w:val="single" w:sz="2" w:space="0" w:color="auto"/>
              <w:left w:val="single" w:sz="2" w:space="0" w:color="auto"/>
              <w:bottom w:val="single" w:sz="2" w:space="0" w:color="auto"/>
              <w:right w:val="single" w:sz="2" w:space="0" w:color="auto"/>
            </w:tcBorders>
          </w:tcPr>
          <w:p w14:paraId="710F6C83" w14:textId="278721D7" w:rsidR="00A43DDD" w:rsidRPr="00D15BDB" w:rsidRDefault="00CF6FF2" w:rsidP="00304BFB">
            <w:pPr>
              <w:autoSpaceDE w:val="0"/>
              <w:autoSpaceDN w:val="0"/>
              <w:rPr>
                <w:rFonts w:eastAsiaTheme="minorEastAsia"/>
                <w:noProof/>
                <w:szCs w:val="24"/>
                <w:lang w:eastAsia="en-GB"/>
              </w:rPr>
            </w:pPr>
            <w:r>
              <w:rPr>
                <w:rFonts w:eastAsiaTheme="minorEastAsia"/>
                <w:noProof/>
                <w:szCs w:val="24"/>
                <w:lang w:eastAsia="en-GB"/>
              </w:rPr>
              <w:t>b</w:t>
            </w:r>
            <w:r w:rsidR="00A43DDD" w:rsidRPr="00D15BDB">
              <w:rPr>
                <w:rFonts w:eastAsiaTheme="minorEastAsia"/>
                <w:noProof/>
                <w:szCs w:val="24"/>
                <w:lang w:eastAsia="en-GB"/>
              </w:rPr>
              <w:t>e cost-efficient</w:t>
            </w:r>
          </w:p>
        </w:tc>
        <w:tc>
          <w:tcPr>
            <w:tcW w:w="557" w:type="dxa"/>
            <w:tcBorders>
              <w:top w:val="single" w:sz="2" w:space="0" w:color="auto"/>
              <w:left w:val="single" w:sz="2" w:space="0" w:color="auto"/>
              <w:bottom w:val="single" w:sz="2" w:space="0" w:color="auto"/>
              <w:right w:val="single" w:sz="2" w:space="0" w:color="auto"/>
            </w:tcBorders>
          </w:tcPr>
          <w:p w14:paraId="77C2D420"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0850B741"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optimise the ratio of costs in relation to output with regard to meeting objectives;</w:t>
            </w:r>
          </w:p>
        </w:tc>
      </w:tr>
      <w:tr w:rsidR="00A43DDD" w:rsidRPr="006A68D6" w14:paraId="11CE0E16" w14:textId="77777777" w:rsidTr="00304BFB">
        <w:tc>
          <w:tcPr>
            <w:tcW w:w="650" w:type="dxa"/>
            <w:tcBorders>
              <w:top w:val="single" w:sz="2" w:space="0" w:color="auto"/>
              <w:left w:val="single" w:sz="2" w:space="0" w:color="auto"/>
              <w:bottom w:val="single" w:sz="2" w:space="0" w:color="auto"/>
              <w:right w:val="single" w:sz="2" w:space="0" w:color="auto"/>
            </w:tcBorders>
          </w:tcPr>
          <w:p w14:paraId="6FAE720F"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(c)</w:t>
            </w:r>
          </w:p>
        </w:tc>
        <w:tc>
          <w:tcPr>
            <w:tcW w:w="1950" w:type="dxa"/>
            <w:tcBorders>
              <w:top w:val="single" w:sz="2" w:space="0" w:color="auto"/>
              <w:left w:val="single" w:sz="2" w:space="0" w:color="auto"/>
              <w:bottom w:val="single" w:sz="2" w:space="0" w:color="auto"/>
              <w:right w:val="single" w:sz="2" w:space="0" w:color="auto"/>
            </w:tcBorders>
          </w:tcPr>
          <w:p w14:paraId="125A9221" w14:textId="062A006A"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b</w:t>
            </w:r>
            <w:r w:rsidR="00A43DDD" w:rsidRPr="00D15BDB">
              <w:rPr>
                <w:rFonts w:eastAsiaTheme="minorEastAsia"/>
                <w:noProof/>
                <w:szCs w:val="24"/>
                <w:lang w:eastAsia="en-GB"/>
              </w:rPr>
              <w:t>e proportionate</w:t>
            </w:r>
          </w:p>
        </w:tc>
        <w:tc>
          <w:tcPr>
            <w:tcW w:w="557" w:type="dxa"/>
            <w:tcBorders>
              <w:top w:val="single" w:sz="2" w:space="0" w:color="auto"/>
              <w:left w:val="single" w:sz="2" w:space="0" w:color="auto"/>
              <w:bottom w:val="single" w:sz="2" w:space="0" w:color="auto"/>
              <w:right w:val="single" w:sz="2" w:space="0" w:color="auto"/>
            </w:tcBorders>
          </w:tcPr>
          <w:p w14:paraId="37A4A606"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42820A33"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provide, where appropriate, for different levels of achievable service quality and deployment, taking into account the local, regional, national and European specificities;</w:t>
            </w:r>
          </w:p>
        </w:tc>
      </w:tr>
      <w:tr w:rsidR="00A43DDD" w:rsidRPr="006A68D6" w14:paraId="15612EDC" w14:textId="77777777" w:rsidTr="00304BFB">
        <w:tc>
          <w:tcPr>
            <w:tcW w:w="650" w:type="dxa"/>
            <w:tcBorders>
              <w:top w:val="single" w:sz="2" w:space="0" w:color="auto"/>
              <w:left w:val="single" w:sz="2" w:space="0" w:color="auto"/>
              <w:bottom w:val="single" w:sz="2" w:space="0" w:color="auto"/>
              <w:right w:val="single" w:sz="2" w:space="0" w:color="auto"/>
            </w:tcBorders>
          </w:tcPr>
          <w:p w14:paraId="28FF2761"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(d)</w:t>
            </w:r>
          </w:p>
        </w:tc>
        <w:tc>
          <w:tcPr>
            <w:tcW w:w="1950" w:type="dxa"/>
            <w:tcBorders>
              <w:top w:val="single" w:sz="2" w:space="0" w:color="auto"/>
              <w:left w:val="single" w:sz="2" w:space="0" w:color="auto"/>
              <w:bottom w:val="single" w:sz="2" w:space="0" w:color="auto"/>
              <w:right w:val="single" w:sz="2" w:space="0" w:color="auto"/>
            </w:tcBorders>
          </w:tcPr>
          <w:p w14:paraId="5F966F5B" w14:textId="145E84AE" w:rsidR="00A43DDD" w:rsidRPr="00D15BDB" w:rsidRDefault="000A2DEE" w:rsidP="00582AFB">
            <w:pPr>
              <w:autoSpaceDE w:val="0"/>
              <w:autoSpaceDN w:val="0"/>
              <w:jc w:val="left"/>
              <w:rPr>
                <w:rFonts w:eastAsiaTheme="minorEastAsia"/>
                <w:noProof/>
                <w:szCs w:val="24"/>
                <w:lang w:eastAsia="en-GB"/>
              </w:rPr>
            </w:pPr>
            <w:r>
              <w:rPr>
                <w:rFonts w:eastAsiaTheme="minorEastAsia"/>
                <w:noProof/>
                <w:szCs w:val="24"/>
                <w:lang w:eastAsia="en-GB"/>
              </w:rPr>
              <w:t>s</w:t>
            </w:r>
            <w:r w:rsidR="00A43DDD" w:rsidRPr="00D15BDB">
              <w:rPr>
                <w:rFonts w:eastAsiaTheme="minorEastAsia"/>
                <w:noProof/>
                <w:szCs w:val="24"/>
                <w:lang w:eastAsia="en-GB"/>
              </w:rPr>
              <w:t>upport continuity of services</w:t>
            </w:r>
          </w:p>
        </w:tc>
        <w:tc>
          <w:tcPr>
            <w:tcW w:w="557" w:type="dxa"/>
            <w:tcBorders>
              <w:top w:val="single" w:sz="2" w:space="0" w:color="auto"/>
              <w:left w:val="single" w:sz="2" w:space="0" w:color="auto"/>
              <w:bottom w:val="single" w:sz="2" w:space="0" w:color="auto"/>
              <w:right w:val="single" w:sz="2" w:space="0" w:color="auto"/>
            </w:tcBorders>
          </w:tcPr>
          <w:p w14:paraId="293ADBF6"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52154767"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ensure seamless services across the Union, in particular on the trans-European network, and where possible at its external borders, when ITS services are deployed. Continuity of services should be ensured at a level adapted to the characteristics of the transport networks linking countries with countries, and where appropriate, regions with regions and cities with rural areas;</w:t>
            </w:r>
          </w:p>
        </w:tc>
      </w:tr>
      <w:tr w:rsidR="00A43DDD" w:rsidRPr="006A68D6" w14:paraId="5FC6F60A" w14:textId="77777777" w:rsidTr="00304BFB">
        <w:tc>
          <w:tcPr>
            <w:tcW w:w="650" w:type="dxa"/>
            <w:tcBorders>
              <w:top w:val="single" w:sz="2" w:space="0" w:color="auto"/>
              <w:left w:val="single" w:sz="2" w:space="0" w:color="auto"/>
              <w:bottom w:val="single" w:sz="2" w:space="0" w:color="auto"/>
              <w:right w:val="single" w:sz="2" w:space="0" w:color="auto"/>
            </w:tcBorders>
          </w:tcPr>
          <w:p w14:paraId="4C4F6BBD"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(e)</w:t>
            </w:r>
          </w:p>
        </w:tc>
        <w:tc>
          <w:tcPr>
            <w:tcW w:w="1950" w:type="dxa"/>
            <w:tcBorders>
              <w:top w:val="single" w:sz="2" w:space="0" w:color="auto"/>
              <w:left w:val="single" w:sz="2" w:space="0" w:color="auto"/>
              <w:bottom w:val="single" w:sz="2" w:space="0" w:color="auto"/>
              <w:right w:val="single" w:sz="2" w:space="0" w:color="auto"/>
            </w:tcBorders>
          </w:tcPr>
          <w:p w14:paraId="1DE505E2" w14:textId="0914B419"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d</w:t>
            </w:r>
            <w:r w:rsidR="00A43DDD" w:rsidRPr="00D15BDB">
              <w:rPr>
                <w:rFonts w:eastAsiaTheme="minorEastAsia"/>
                <w:noProof/>
                <w:szCs w:val="24"/>
                <w:lang w:eastAsia="en-GB"/>
              </w:rPr>
              <w:t>eliver interoperability</w:t>
            </w:r>
          </w:p>
        </w:tc>
        <w:tc>
          <w:tcPr>
            <w:tcW w:w="557" w:type="dxa"/>
            <w:tcBorders>
              <w:top w:val="single" w:sz="2" w:space="0" w:color="auto"/>
              <w:left w:val="single" w:sz="2" w:space="0" w:color="auto"/>
              <w:bottom w:val="single" w:sz="2" w:space="0" w:color="auto"/>
              <w:right w:val="single" w:sz="2" w:space="0" w:color="auto"/>
            </w:tcBorders>
          </w:tcPr>
          <w:p w14:paraId="761F68DE"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2E070E93"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ensure that systems and the underlying business processes have the capacity to exchange data and to share information and knowledge to enable effective ITS service delivery;</w:t>
            </w:r>
          </w:p>
        </w:tc>
      </w:tr>
      <w:tr w:rsidR="00A43DDD" w:rsidRPr="006A68D6" w14:paraId="58269CCA" w14:textId="77777777" w:rsidTr="00304BFB">
        <w:tc>
          <w:tcPr>
            <w:tcW w:w="650" w:type="dxa"/>
            <w:tcBorders>
              <w:top w:val="single" w:sz="2" w:space="0" w:color="auto"/>
              <w:left w:val="single" w:sz="2" w:space="0" w:color="auto"/>
              <w:bottom w:val="single" w:sz="2" w:space="0" w:color="auto"/>
              <w:right w:val="single" w:sz="2" w:space="0" w:color="auto"/>
            </w:tcBorders>
          </w:tcPr>
          <w:p w14:paraId="6ED9D943"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(f)</w:t>
            </w:r>
          </w:p>
        </w:tc>
        <w:tc>
          <w:tcPr>
            <w:tcW w:w="1950" w:type="dxa"/>
            <w:tcBorders>
              <w:top w:val="single" w:sz="2" w:space="0" w:color="auto"/>
              <w:left w:val="single" w:sz="2" w:space="0" w:color="auto"/>
              <w:bottom w:val="single" w:sz="2" w:space="0" w:color="auto"/>
              <w:right w:val="single" w:sz="2" w:space="0" w:color="auto"/>
            </w:tcBorders>
          </w:tcPr>
          <w:p w14:paraId="3670D44E" w14:textId="7A4DCEFD"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s</w:t>
            </w:r>
            <w:r w:rsidR="00A43DDD" w:rsidRPr="00D15BDB">
              <w:rPr>
                <w:rFonts w:eastAsiaTheme="minorEastAsia"/>
                <w:noProof/>
                <w:szCs w:val="24"/>
                <w:lang w:eastAsia="en-GB"/>
              </w:rPr>
              <w:t>upport backward compatibility</w:t>
            </w:r>
          </w:p>
        </w:tc>
        <w:tc>
          <w:tcPr>
            <w:tcW w:w="557" w:type="dxa"/>
            <w:tcBorders>
              <w:top w:val="single" w:sz="2" w:space="0" w:color="auto"/>
              <w:left w:val="single" w:sz="2" w:space="0" w:color="auto"/>
              <w:bottom w:val="single" w:sz="2" w:space="0" w:color="auto"/>
              <w:right w:val="single" w:sz="2" w:space="0" w:color="auto"/>
            </w:tcBorders>
          </w:tcPr>
          <w:p w14:paraId="218D7CA5"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4BF38448" w14:textId="656644B2" w:rsidR="00A43DDD" w:rsidRPr="006A68D6" w:rsidRDefault="00A43DDD" w:rsidP="00B54D05">
            <w:pPr>
              <w:autoSpaceDE w:val="0"/>
              <w:autoSpaceDN w:val="0"/>
              <w:rPr>
                <w:rFonts w:eastAsiaTheme="minorEastAsia"/>
                <w:noProof/>
                <w:szCs w:val="24"/>
                <w:lang w:eastAsia="en-GB"/>
              </w:rPr>
            </w:pPr>
            <w:r w:rsidRPr="006A68D6">
              <w:rPr>
                <w:rFonts w:eastAsiaTheme="minorEastAsia"/>
                <w:noProof/>
                <w:szCs w:val="24"/>
                <w:lang w:eastAsia="en-GB"/>
              </w:rPr>
              <w:t>ensure, where appropriate, the capability for ITS systems to work with existing sys</w:t>
            </w:r>
            <w:r w:rsidR="00B54D05">
              <w:rPr>
                <w:rFonts w:eastAsiaTheme="minorEastAsia"/>
                <w:noProof/>
                <w:szCs w:val="24"/>
                <w:lang w:eastAsia="en-GB"/>
              </w:rPr>
              <w:t xml:space="preserve">tems that share a common purpose, </w:t>
            </w:r>
            <w:r w:rsidR="00A619CC" w:rsidRPr="00A619CC">
              <w:rPr>
                <w:rFonts w:eastAsiaTheme="minorEastAsia"/>
                <w:noProof/>
                <w:szCs w:val="24"/>
                <w:lang w:eastAsia="en-GB"/>
              </w:rPr>
              <w:t xml:space="preserve">without hindering the development of new technologies and </w:t>
            </w:r>
            <w:r w:rsidR="00B54D05">
              <w:rPr>
                <w:rFonts w:eastAsiaTheme="minorEastAsia"/>
                <w:noProof/>
                <w:szCs w:val="24"/>
                <w:lang w:eastAsia="en-GB"/>
              </w:rPr>
              <w:t>w</w:t>
            </w:r>
            <w:r w:rsidR="00B54D05" w:rsidRPr="00B54D05">
              <w:rPr>
                <w:rFonts w:eastAsiaTheme="minorEastAsia"/>
                <w:noProof/>
                <w:szCs w:val="24"/>
                <w:lang w:eastAsia="en-GB"/>
              </w:rPr>
              <w:t>hile supporting, where relevant, the complementarity with or transition to new technologies</w:t>
            </w:r>
            <w:r w:rsidRPr="006A68D6">
              <w:rPr>
                <w:rFonts w:eastAsiaTheme="minorEastAsia"/>
                <w:noProof/>
                <w:szCs w:val="24"/>
                <w:lang w:eastAsia="en-GB"/>
              </w:rPr>
              <w:t>;</w:t>
            </w:r>
          </w:p>
        </w:tc>
      </w:tr>
      <w:tr w:rsidR="00A43DDD" w:rsidRPr="006A68D6" w14:paraId="7898AA17" w14:textId="77777777" w:rsidTr="00304BFB">
        <w:tc>
          <w:tcPr>
            <w:tcW w:w="650" w:type="dxa"/>
            <w:tcBorders>
              <w:top w:val="single" w:sz="2" w:space="0" w:color="auto"/>
              <w:left w:val="single" w:sz="2" w:space="0" w:color="auto"/>
              <w:bottom w:val="single" w:sz="2" w:space="0" w:color="auto"/>
              <w:right w:val="single" w:sz="2" w:space="0" w:color="auto"/>
            </w:tcBorders>
          </w:tcPr>
          <w:p w14:paraId="5C59DB08"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(g)</w:t>
            </w:r>
          </w:p>
        </w:tc>
        <w:tc>
          <w:tcPr>
            <w:tcW w:w="1950" w:type="dxa"/>
            <w:tcBorders>
              <w:top w:val="single" w:sz="2" w:space="0" w:color="auto"/>
              <w:left w:val="single" w:sz="2" w:space="0" w:color="auto"/>
              <w:bottom w:val="single" w:sz="2" w:space="0" w:color="auto"/>
              <w:right w:val="single" w:sz="2" w:space="0" w:color="auto"/>
            </w:tcBorders>
          </w:tcPr>
          <w:p w14:paraId="7E34A016" w14:textId="160AAAB0" w:rsidR="00A43DDD" w:rsidRPr="006A68D6" w:rsidRDefault="000A2DEE" w:rsidP="00304BFB">
            <w:pPr>
              <w:autoSpaceDE w:val="0"/>
              <w:autoSpaceDN w:val="0"/>
              <w:rPr>
                <w:rFonts w:eastAsiaTheme="minorEastAsia"/>
                <w:noProof/>
                <w:szCs w:val="24"/>
                <w:lang w:eastAsia="en-GB"/>
              </w:rPr>
            </w:pPr>
            <w:r>
              <w:rPr>
                <w:rFonts w:eastAsiaTheme="minorEastAsia"/>
                <w:noProof/>
                <w:szCs w:val="24"/>
                <w:lang w:eastAsia="en-GB"/>
              </w:rPr>
              <w:t>r</w:t>
            </w:r>
            <w:r w:rsidR="00A43DDD" w:rsidRPr="006A68D6">
              <w:rPr>
                <w:rFonts w:eastAsiaTheme="minorEastAsia"/>
                <w:noProof/>
                <w:szCs w:val="24"/>
                <w:lang w:eastAsia="en-GB"/>
              </w:rPr>
              <w:t>espect existing national infrastructure and network characteristics</w:t>
            </w:r>
          </w:p>
        </w:tc>
        <w:tc>
          <w:tcPr>
            <w:tcW w:w="557" w:type="dxa"/>
            <w:tcBorders>
              <w:top w:val="single" w:sz="2" w:space="0" w:color="auto"/>
              <w:left w:val="single" w:sz="2" w:space="0" w:color="auto"/>
              <w:bottom w:val="single" w:sz="2" w:space="0" w:color="auto"/>
              <w:right w:val="single" w:sz="2" w:space="0" w:color="auto"/>
            </w:tcBorders>
          </w:tcPr>
          <w:p w14:paraId="43EE788F"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2E93D680"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take into account the inherent differences in the transport network characteristics, in particular in the sizes of the traffic volumes and in road weather conditions;</w:t>
            </w:r>
          </w:p>
        </w:tc>
      </w:tr>
      <w:tr w:rsidR="00A43DDD" w:rsidRPr="006A68D6" w14:paraId="7F494005" w14:textId="77777777" w:rsidTr="00304BFB">
        <w:tc>
          <w:tcPr>
            <w:tcW w:w="650" w:type="dxa"/>
            <w:tcBorders>
              <w:top w:val="single" w:sz="2" w:space="0" w:color="auto"/>
              <w:left w:val="single" w:sz="2" w:space="0" w:color="auto"/>
              <w:bottom w:val="single" w:sz="2" w:space="0" w:color="auto"/>
              <w:right w:val="single" w:sz="2" w:space="0" w:color="auto"/>
            </w:tcBorders>
          </w:tcPr>
          <w:p w14:paraId="13C21A09"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(h)</w:t>
            </w:r>
          </w:p>
        </w:tc>
        <w:tc>
          <w:tcPr>
            <w:tcW w:w="1950" w:type="dxa"/>
            <w:tcBorders>
              <w:top w:val="single" w:sz="2" w:space="0" w:color="auto"/>
              <w:left w:val="single" w:sz="2" w:space="0" w:color="auto"/>
              <w:bottom w:val="single" w:sz="2" w:space="0" w:color="auto"/>
              <w:right w:val="single" w:sz="2" w:space="0" w:color="auto"/>
            </w:tcBorders>
          </w:tcPr>
          <w:p w14:paraId="186D917B" w14:textId="3242CF45"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p</w:t>
            </w:r>
            <w:r w:rsidR="00A43DDD" w:rsidRPr="00D15BDB">
              <w:rPr>
                <w:rFonts w:eastAsiaTheme="minorEastAsia"/>
                <w:noProof/>
                <w:szCs w:val="24"/>
                <w:lang w:eastAsia="en-GB"/>
              </w:rPr>
              <w:t>romote equality of access</w:t>
            </w:r>
          </w:p>
        </w:tc>
        <w:tc>
          <w:tcPr>
            <w:tcW w:w="557" w:type="dxa"/>
            <w:tcBorders>
              <w:top w:val="single" w:sz="2" w:space="0" w:color="auto"/>
              <w:left w:val="single" w:sz="2" w:space="0" w:color="auto"/>
              <w:bottom w:val="single" w:sz="2" w:space="0" w:color="auto"/>
              <w:right w:val="single" w:sz="2" w:space="0" w:color="auto"/>
            </w:tcBorders>
          </w:tcPr>
          <w:p w14:paraId="3E72D6BA"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56A47C81" w14:textId="48165FC9" w:rsidR="00A43DDD" w:rsidRPr="006A68D6" w:rsidRDefault="00A43DDD" w:rsidP="004763D7">
            <w:pPr>
              <w:autoSpaceDE w:val="0"/>
              <w:autoSpaceDN w:val="0"/>
              <w:rPr>
                <w:rFonts w:eastAsiaTheme="minorEastAsia"/>
                <w:noProof/>
                <w:szCs w:val="24"/>
                <w:lang w:eastAsia="en-GB"/>
              </w:rPr>
            </w:pPr>
            <w:r w:rsidRPr="006A68D6">
              <w:rPr>
                <w:rFonts w:eastAsiaTheme="minorEastAsia"/>
                <w:noProof/>
                <w:szCs w:val="24"/>
                <w:lang w:eastAsia="en-GB"/>
              </w:rPr>
              <w:t>do not impede or discriminate against access to ITS applications and services by vulnerable road users</w:t>
            </w:r>
            <w:r w:rsidR="004763D7">
              <w:rPr>
                <w:rFonts w:eastAsiaTheme="minorEastAsia"/>
                <w:noProof/>
                <w:szCs w:val="24"/>
                <w:lang w:eastAsia="en-GB"/>
              </w:rPr>
              <w:t>. W</w:t>
            </w:r>
            <w:r w:rsidR="004763D7" w:rsidRPr="004763D7">
              <w:rPr>
                <w:rFonts w:eastAsiaTheme="minorEastAsia"/>
                <w:noProof/>
                <w:szCs w:val="24"/>
                <w:lang w:eastAsia="en-GB"/>
              </w:rPr>
              <w:t>here relevant, be accessible for persons with disabilities in line with the accessibility requirements of Annex I of Directive 2019/882 when the ITS applications and services are meant to interface or provide information to ITS users with disabilities</w:t>
            </w:r>
            <w:r w:rsidR="004763D7">
              <w:rPr>
                <w:rFonts w:eastAsiaTheme="minorEastAsia"/>
                <w:noProof/>
                <w:szCs w:val="24"/>
                <w:lang w:eastAsia="en-GB"/>
              </w:rPr>
              <w:t>;</w:t>
            </w:r>
          </w:p>
        </w:tc>
      </w:tr>
      <w:tr w:rsidR="00A43DDD" w:rsidRPr="006A68D6" w14:paraId="2D445C35" w14:textId="77777777" w:rsidTr="00304BFB">
        <w:tc>
          <w:tcPr>
            <w:tcW w:w="650" w:type="dxa"/>
            <w:tcBorders>
              <w:top w:val="single" w:sz="2" w:space="0" w:color="auto"/>
              <w:left w:val="single" w:sz="2" w:space="0" w:color="auto"/>
              <w:bottom w:val="single" w:sz="2" w:space="0" w:color="auto"/>
              <w:right w:val="single" w:sz="2" w:space="0" w:color="auto"/>
            </w:tcBorders>
          </w:tcPr>
          <w:p w14:paraId="3829F3E2"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(i)</w:t>
            </w:r>
          </w:p>
        </w:tc>
        <w:tc>
          <w:tcPr>
            <w:tcW w:w="1950" w:type="dxa"/>
            <w:tcBorders>
              <w:top w:val="single" w:sz="2" w:space="0" w:color="auto"/>
              <w:left w:val="single" w:sz="2" w:space="0" w:color="auto"/>
              <w:bottom w:val="single" w:sz="2" w:space="0" w:color="auto"/>
              <w:right w:val="single" w:sz="2" w:space="0" w:color="auto"/>
            </w:tcBorders>
          </w:tcPr>
          <w:p w14:paraId="3C7DE684" w14:textId="1D657412"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s</w:t>
            </w:r>
            <w:r w:rsidR="00A43DDD" w:rsidRPr="00D15BDB">
              <w:rPr>
                <w:rFonts w:eastAsiaTheme="minorEastAsia"/>
                <w:noProof/>
                <w:szCs w:val="24"/>
                <w:lang w:eastAsia="en-GB"/>
              </w:rPr>
              <w:t>upport maturity</w:t>
            </w:r>
          </w:p>
        </w:tc>
        <w:tc>
          <w:tcPr>
            <w:tcW w:w="557" w:type="dxa"/>
            <w:tcBorders>
              <w:top w:val="single" w:sz="2" w:space="0" w:color="auto"/>
              <w:left w:val="single" w:sz="2" w:space="0" w:color="auto"/>
              <w:bottom w:val="single" w:sz="2" w:space="0" w:color="auto"/>
              <w:right w:val="single" w:sz="2" w:space="0" w:color="auto"/>
            </w:tcBorders>
          </w:tcPr>
          <w:p w14:paraId="45011F62"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571DCCBD"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demonstrate, after appropriate risk assessment, the robustness of innovative ITS systems, through a sufficient level of technical development and operational exploitation;</w:t>
            </w:r>
          </w:p>
        </w:tc>
      </w:tr>
      <w:tr w:rsidR="00A43DDD" w:rsidRPr="006A68D6" w14:paraId="2F37855E" w14:textId="77777777" w:rsidTr="00304BFB">
        <w:tc>
          <w:tcPr>
            <w:tcW w:w="650" w:type="dxa"/>
            <w:tcBorders>
              <w:top w:val="single" w:sz="2" w:space="0" w:color="auto"/>
              <w:left w:val="single" w:sz="2" w:space="0" w:color="auto"/>
              <w:bottom w:val="single" w:sz="2" w:space="0" w:color="auto"/>
              <w:right w:val="single" w:sz="2" w:space="0" w:color="auto"/>
            </w:tcBorders>
          </w:tcPr>
          <w:p w14:paraId="32922629"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(j)</w:t>
            </w:r>
          </w:p>
        </w:tc>
        <w:tc>
          <w:tcPr>
            <w:tcW w:w="1950" w:type="dxa"/>
            <w:tcBorders>
              <w:top w:val="single" w:sz="2" w:space="0" w:color="auto"/>
              <w:left w:val="single" w:sz="2" w:space="0" w:color="auto"/>
              <w:bottom w:val="single" w:sz="2" w:space="0" w:color="auto"/>
              <w:right w:val="single" w:sz="2" w:space="0" w:color="auto"/>
            </w:tcBorders>
          </w:tcPr>
          <w:p w14:paraId="2BCEC29F" w14:textId="5822860B" w:rsidR="00A43DDD" w:rsidRPr="006A68D6" w:rsidRDefault="000A2DEE" w:rsidP="00304BFB">
            <w:pPr>
              <w:autoSpaceDE w:val="0"/>
              <w:autoSpaceDN w:val="0"/>
              <w:rPr>
                <w:rFonts w:eastAsiaTheme="minorEastAsia"/>
                <w:noProof/>
                <w:szCs w:val="24"/>
                <w:lang w:eastAsia="en-GB"/>
              </w:rPr>
            </w:pPr>
            <w:r>
              <w:rPr>
                <w:rFonts w:eastAsiaTheme="minorEastAsia"/>
                <w:noProof/>
                <w:szCs w:val="24"/>
                <w:lang w:eastAsia="en-GB"/>
              </w:rPr>
              <w:t>d</w:t>
            </w:r>
            <w:r w:rsidR="00A43DDD" w:rsidRPr="006A68D6">
              <w:rPr>
                <w:rFonts w:eastAsiaTheme="minorEastAsia"/>
                <w:noProof/>
                <w:szCs w:val="24"/>
                <w:lang w:eastAsia="en-GB"/>
              </w:rPr>
              <w:t>eliver quality of timing and positioning</w:t>
            </w:r>
          </w:p>
        </w:tc>
        <w:tc>
          <w:tcPr>
            <w:tcW w:w="557" w:type="dxa"/>
            <w:tcBorders>
              <w:top w:val="single" w:sz="2" w:space="0" w:color="auto"/>
              <w:left w:val="single" w:sz="2" w:space="0" w:color="auto"/>
              <w:bottom w:val="single" w:sz="2" w:space="0" w:color="auto"/>
              <w:right w:val="single" w:sz="2" w:space="0" w:color="auto"/>
            </w:tcBorders>
          </w:tcPr>
          <w:p w14:paraId="360D0B6E"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2D7C413F" w14:textId="413FF1CF"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ensure the compatibility of ITS applications and services, which rely on timing or positioning, with at least the navigation services provided by the Galileo</w:t>
            </w:r>
            <w:r w:rsidR="000A2DEE">
              <w:rPr>
                <w:rFonts w:eastAsiaTheme="minorEastAsia"/>
                <w:noProof/>
                <w:szCs w:val="24"/>
                <w:lang w:eastAsia="en-GB"/>
              </w:rPr>
              <w:t>,</w:t>
            </w:r>
            <w:r w:rsidRPr="006A68D6">
              <w:rPr>
                <w:rFonts w:eastAsiaTheme="minorEastAsia"/>
                <w:noProof/>
                <w:szCs w:val="24"/>
                <w:lang w:eastAsia="en-GB"/>
              </w:rPr>
              <w:t xml:space="preserve"> including Open Service navigation Message Authentication, when such service be</w:t>
            </w:r>
            <w:r w:rsidR="005A1D00">
              <w:rPr>
                <w:rFonts w:eastAsiaTheme="minorEastAsia"/>
                <w:noProof/>
                <w:szCs w:val="24"/>
                <w:lang w:eastAsia="en-GB"/>
              </w:rPr>
              <w:t>comes</w:t>
            </w:r>
            <w:r w:rsidRPr="006A68D6">
              <w:rPr>
                <w:rFonts w:eastAsiaTheme="minorEastAsia"/>
                <w:noProof/>
                <w:szCs w:val="24"/>
                <w:lang w:eastAsia="en-GB"/>
              </w:rPr>
              <w:t xml:space="preserve"> available</w:t>
            </w:r>
            <w:r w:rsidR="000A2DEE">
              <w:rPr>
                <w:rFonts w:eastAsiaTheme="minorEastAsia"/>
                <w:noProof/>
                <w:szCs w:val="24"/>
                <w:lang w:eastAsia="en-GB"/>
              </w:rPr>
              <w:t>,</w:t>
            </w:r>
            <w:r w:rsidRPr="006A68D6">
              <w:rPr>
                <w:rFonts w:eastAsiaTheme="minorEastAsia"/>
                <w:noProof/>
                <w:szCs w:val="24"/>
                <w:lang w:eastAsia="en-GB"/>
              </w:rPr>
              <w:t xml:space="preserve"> and the European Geostationary Navigation Overlay Service (‘EGNOS’) systems.</w:t>
            </w:r>
          </w:p>
          <w:p w14:paraId="12DFCFE7" w14:textId="283CD0AB" w:rsidR="00A43DDD" w:rsidRPr="006A68D6" w:rsidRDefault="00A43DDD" w:rsidP="000A2DEE">
            <w:pPr>
              <w:autoSpaceDE w:val="0"/>
              <w:autoSpaceDN w:val="0"/>
              <w:rPr>
                <w:rFonts w:eastAsiaTheme="minorEastAsia"/>
                <w:noProof/>
                <w:szCs w:val="24"/>
                <w:lang w:eastAsia="en-GB"/>
              </w:rPr>
            </w:pPr>
            <w:r w:rsidRPr="006A68D6">
              <w:rPr>
                <w:rFonts w:eastAsiaTheme="minorEastAsia"/>
                <w:noProof/>
                <w:szCs w:val="24"/>
                <w:lang w:eastAsia="en-GB"/>
              </w:rPr>
              <w:t>Where appropriate, ensure that ITS applications and services relying on Earth observation data use Copernicus data, information or services</w:t>
            </w:r>
            <w:r w:rsidR="000A2DEE">
              <w:rPr>
                <w:rFonts w:eastAsiaTheme="minorEastAsia"/>
                <w:noProof/>
                <w:szCs w:val="24"/>
                <w:lang w:eastAsia="en-GB"/>
              </w:rPr>
              <w:t>.</w:t>
            </w:r>
            <w:r w:rsidRPr="006A68D6">
              <w:rPr>
                <w:rFonts w:eastAsiaTheme="minorEastAsia"/>
                <w:noProof/>
                <w:szCs w:val="24"/>
                <w:lang w:eastAsia="en-GB"/>
              </w:rPr>
              <w:t xml:space="preserve"> </w:t>
            </w:r>
            <w:r w:rsidR="000A2DEE">
              <w:rPr>
                <w:rFonts w:eastAsiaTheme="minorEastAsia"/>
                <w:noProof/>
                <w:szCs w:val="24"/>
                <w:lang w:eastAsia="en-GB"/>
              </w:rPr>
              <w:t>O</w:t>
            </w:r>
            <w:r w:rsidRPr="006A68D6">
              <w:rPr>
                <w:rFonts w:eastAsiaTheme="minorEastAsia"/>
                <w:noProof/>
                <w:szCs w:val="24"/>
                <w:lang w:eastAsia="en-GB"/>
              </w:rPr>
              <w:t>ther data and services may additionally be used</w:t>
            </w:r>
            <w:r w:rsidR="00797514">
              <w:rPr>
                <w:rFonts w:eastAsiaTheme="minorEastAsia"/>
                <w:noProof/>
                <w:szCs w:val="24"/>
                <w:lang w:eastAsia="en-GB"/>
              </w:rPr>
              <w:t xml:space="preserve"> in addition</w:t>
            </w:r>
            <w:r w:rsidR="00D101CA">
              <w:rPr>
                <w:rFonts w:eastAsiaTheme="minorEastAsia"/>
                <w:noProof/>
                <w:szCs w:val="24"/>
                <w:lang w:eastAsia="en-GB"/>
              </w:rPr>
              <w:t xml:space="preserve"> to Copernicus data</w:t>
            </w:r>
            <w:r w:rsidRPr="006A68D6">
              <w:rPr>
                <w:rFonts w:eastAsiaTheme="minorEastAsia"/>
                <w:noProof/>
                <w:szCs w:val="24"/>
                <w:lang w:eastAsia="en-GB"/>
              </w:rPr>
              <w:t>;</w:t>
            </w:r>
          </w:p>
        </w:tc>
      </w:tr>
      <w:tr w:rsidR="00A43DDD" w:rsidRPr="006A68D6" w14:paraId="29E6E05E" w14:textId="77777777" w:rsidTr="00304BFB">
        <w:tc>
          <w:tcPr>
            <w:tcW w:w="650" w:type="dxa"/>
            <w:tcBorders>
              <w:top w:val="single" w:sz="2" w:space="0" w:color="auto"/>
              <w:left w:val="single" w:sz="2" w:space="0" w:color="auto"/>
              <w:bottom w:val="single" w:sz="2" w:space="0" w:color="auto"/>
              <w:right w:val="single" w:sz="2" w:space="0" w:color="auto"/>
            </w:tcBorders>
          </w:tcPr>
          <w:p w14:paraId="000446B0"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(k)</w:t>
            </w:r>
          </w:p>
        </w:tc>
        <w:tc>
          <w:tcPr>
            <w:tcW w:w="1950" w:type="dxa"/>
            <w:tcBorders>
              <w:top w:val="single" w:sz="2" w:space="0" w:color="auto"/>
              <w:left w:val="single" w:sz="2" w:space="0" w:color="auto"/>
              <w:bottom w:val="single" w:sz="2" w:space="0" w:color="auto"/>
              <w:right w:val="single" w:sz="2" w:space="0" w:color="auto"/>
            </w:tcBorders>
          </w:tcPr>
          <w:p w14:paraId="3F1871C1" w14:textId="401DFA73" w:rsidR="00A43DDD" w:rsidRPr="00D15BDB" w:rsidRDefault="000A2DEE" w:rsidP="00582AFB">
            <w:pPr>
              <w:autoSpaceDE w:val="0"/>
              <w:autoSpaceDN w:val="0"/>
              <w:jc w:val="left"/>
              <w:rPr>
                <w:rFonts w:eastAsiaTheme="minorEastAsia"/>
                <w:noProof/>
                <w:szCs w:val="24"/>
                <w:lang w:eastAsia="en-GB"/>
              </w:rPr>
            </w:pPr>
            <w:r>
              <w:rPr>
                <w:rFonts w:eastAsiaTheme="minorEastAsia"/>
                <w:noProof/>
                <w:szCs w:val="24"/>
                <w:lang w:eastAsia="en-GB"/>
              </w:rPr>
              <w:t>f</w:t>
            </w:r>
            <w:r w:rsidR="00A43DDD" w:rsidRPr="00D15BDB">
              <w:rPr>
                <w:rFonts w:eastAsiaTheme="minorEastAsia"/>
                <w:noProof/>
                <w:szCs w:val="24"/>
                <w:lang w:eastAsia="en-GB"/>
              </w:rPr>
              <w:t>acilitate inter-modality</w:t>
            </w:r>
          </w:p>
        </w:tc>
        <w:tc>
          <w:tcPr>
            <w:tcW w:w="557" w:type="dxa"/>
            <w:tcBorders>
              <w:top w:val="single" w:sz="2" w:space="0" w:color="auto"/>
              <w:left w:val="single" w:sz="2" w:space="0" w:color="auto"/>
              <w:bottom w:val="single" w:sz="2" w:space="0" w:color="auto"/>
              <w:right w:val="single" w:sz="2" w:space="0" w:color="auto"/>
            </w:tcBorders>
          </w:tcPr>
          <w:p w14:paraId="27D0CC36"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103705D1"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take into account the coordination of various modes of transport, where appropriate, when deploying ITS;</w:t>
            </w:r>
          </w:p>
        </w:tc>
      </w:tr>
      <w:tr w:rsidR="00A43DDD" w:rsidRPr="006A68D6" w14:paraId="2BA9B8CA" w14:textId="77777777" w:rsidTr="00304BFB">
        <w:tc>
          <w:tcPr>
            <w:tcW w:w="650" w:type="dxa"/>
            <w:tcBorders>
              <w:top w:val="single" w:sz="2" w:space="0" w:color="auto"/>
              <w:left w:val="single" w:sz="2" w:space="0" w:color="auto"/>
              <w:bottom w:val="single" w:sz="2" w:space="0" w:color="auto"/>
              <w:right w:val="single" w:sz="2" w:space="0" w:color="auto"/>
            </w:tcBorders>
          </w:tcPr>
          <w:p w14:paraId="193A4DE4"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(l)</w:t>
            </w:r>
          </w:p>
        </w:tc>
        <w:tc>
          <w:tcPr>
            <w:tcW w:w="1950" w:type="dxa"/>
            <w:tcBorders>
              <w:top w:val="single" w:sz="2" w:space="0" w:color="auto"/>
              <w:left w:val="single" w:sz="2" w:space="0" w:color="auto"/>
              <w:bottom w:val="single" w:sz="2" w:space="0" w:color="auto"/>
              <w:right w:val="single" w:sz="2" w:space="0" w:color="auto"/>
            </w:tcBorders>
          </w:tcPr>
          <w:p w14:paraId="6CCAF233" w14:textId="591DEECF" w:rsidR="00A43DDD" w:rsidRPr="00D15BDB" w:rsidRDefault="000A2DEE" w:rsidP="00304BFB">
            <w:pPr>
              <w:autoSpaceDE w:val="0"/>
              <w:autoSpaceDN w:val="0"/>
              <w:rPr>
                <w:rFonts w:eastAsiaTheme="minorEastAsia"/>
                <w:noProof/>
                <w:szCs w:val="24"/>
                <w:lang w:eastAsia="en-GB"/>
              </w:rPr>
            </w:pPr>
            <w:r>
              <w:rPr>
                <w:rFonts w:eastAsiaTheme="minorEastAsia"/>
                <w:noProof/>
                <w:szCs w:val="24"/>
                <w:lang w:eastAsia="en-GB"/>
              </w:rPr>
              <w:t>r</w:t>
            </w:r>
            <w:r w:rsidR="00A43DDD" w:rsidRPr="00D15BDB">
              <w:rPr>
                <w:rFonts w:eastAsiaTheme="minorEastAsia"/>
                <w:noProof/>
                <w:szCs w:val="24"/>
                <w:lang w:eastAsia="en-GB"/>
              </w:rPr>
              <w:t>espect coherence</w:t>
            </w:r>
          </w:p>
        </w:tc>
        <w:tc>
          <w:tcPr>
            <w:tcW w:w="557" w:type="dxa"/>
            <w:tcBorders>
              <w:top w:val="single" w:sz="2" w:space="0" w:color="auto"/>
              <w:left w:val="single" w:sz="2" w:space="0" w:color="auto"/>
              <w:bottom w:val="single" w:sz="2" w:space="0" w:color="auto"/>
              <w:right w:val="single" w:sz="2" w:space="0" w:color="auto"/>
            </w:tcBorders>
          </w:tcPr>
          <w:p w14:paraId="40BA8E95" w14:textId="77777777" w:rsidR="00A43DDD" w:rsidRPr="00D15BDB" w:rsidRDefault="00A43DDD" w:rsidP="00304BFB">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4FFCADF0" w14:textId="77777777" w:rsidR="00A43DDD" w:rsidRPr="006A68D6" w:rsidRDefault="00A43DDD" w:rsidP="00304BFB">
            <w:pPr>
              <w:autoSpaceDE w:val="0"/>
              <w:autoSpaceDN w:val="0"/>
              <w:rPr>
                <w:rFonts w:eastAsiaTheme="minorEastAsia"/>
                <w:noProof/>
                <w:szCs w:val="24"/>
                <w:lang w:eastAsia="en-GB"/>
              </w:rPr>
            </w:pPr>
            <w:r w:rsidRPr="006A68D6">
              <w:rPr>
                <w:rFonts w:eastAsiaTheme="minorEastAsia"/>
                <w:noProof/>
                <w:szCs w:val="24"/>
                <w:lang w:eastAsia="en-GB"/>
              </w:rPr>
              <w:t>take into account existing Union rules, policies and activities which are relevant in the field of ITS, in particular in the field of standardisation;</w:t>
            </w:r>
          </w:p>
        </w:tc>
      </w:tr>
      <w:tr w:rsidR="00A43DDD" w:rsidRPr="006A68D6" w14:paraId="70BEFE0D" w14:textId="77777777" w:rsidTr="00304BFB">
        <w:tc>
          <w:tcPr>
            <w:tcW w:w="650" w:type="dxa"/>
            <w:tcBorders>
              <w:top w:val="single" w:sz="2" w:space="0" w:color="auto"/>
              <w:left w:val="single" w:sz="2" w:space="0" w:color="auto"/>
              <w:bottom w:val="single" w:sz="2" w:space="0" w:color="auto"/>
              <w:right w:val="single" w:sz="2" w:space="0" w:color="auto"/>
            </w:tcBorders>
          </w:tcPr>
          <w:p w14:paraId="2922E6BD" w14:textId="77777777" w:rsidR="00A43DDD" w:rsidRPr="00D15BDB" w:rsidRDefault="00A43DDD" w:rsidP="00A43DDD">
            <w:pPr>
              <w:autoSpaceDE w:val="0"/>
              <w:autoSpaceDN w:val="0"/>
              <w:rPr>
                <w:rFonts w:eastAsiaTheme="minorEastAsia"/>
                <w:noProof/>
                <w:szCs w:val="24"/>
                <w:lang w:eastAsia="en-GB"/>
              </w:rPr>
            </w:pPr>
            <w:r w:rsidRPr="00D15BDB">
              <w:rPr>
                <w:rFonts w:eastAsiaTheme="minorEastAsia"/>
                <w:noProof/>
                <w:szCs w:val="24"/>
                <w:lang w:eastAsia="en-GB"/>
              </w:rPr>
              <w:t>(m)</w:t>
            </w:r>
          </w:p>
        </w:tc>
        <w:tc>
          <w:tcPr>
            <w:tcW w:w="1950" w:type="dxa"/>
            <w:tcBorders>
              <w:top w:val="single" w:sz="2" w:space="0" w:color="auto"/>
              <w:left w:val="single" w:sz="2" w:space="0" w:color="auto"/>
              <w:bottom w:val="single" w:sz="2" w:space="0" w:color="auto"/>
              <w:right w:val="single" w:sz="2" w:space="0" w:color="auto"/>
            </w:tcBorders>
          </w:tcPr>
          <w:p w14:paraId="3AFAB3D5" w14:textId="6C5F5DA7" w:rsidR="00A43DDD" w:rsidRPr="00D15BDB" w:rsidRDefault="000A2DEE" w:rsidP="00A43DDD">
            <w:pPr>
              <w:autoSpaceDE w:val="0"/>
              <w:autoSpaceDN w:val="0"/>
              <w:rPr>
                <w:rFonts w:eastAsiaTheme="minorEastAsia"/>
                <w:noProof/>
                <w:szCs w:val="24"/>
                <w:lang w:eastAsia="en-GB"/>
              </w:rPr>
            </w:pPr>
            <w:r>
              <w:rPr>
                <w:rFonts w:eastAsiaTheme="minorEastAsia"/>
                <w:noProof/>
                <w:szCs w:val="24"/>
                <w:lang w:eastAsia="en-GB"/>
              </w:rPr>
              <w:t>d</w:t>
            </w:r>
            <w:r w:rsidR="00A43DDD" w:rsidRPr="00D15BDB">
              <w:rPr>
                <w:rFonts w:eastAsiaTheme="minorEastAsia"/>
                <w:noProof/>
                <w:szCs w:val="24"/>
                <w:lang w:eastAsia="en-GB"/>
              </w:rPr>
              <w:t>eliver transparency and trust</w:t>
            </w:r>
          </w:p>
        </w:tc>
        <w:tc>
          <w:tcPr>
            <w:tcW w:w="557" w:type="dxa"/>
            <w:tcBorders>
              <w:top w:val="single" w:sz="2" w:space="0" w:color="auto"/>
              <w:left w:val="single" w:sz="2" w:space="0" w:color="auto"/>
              <w:bottom w:val="single" w:sz="2" w:space="0" w:color="auto"/>
              <w:right w:val="single" w:sz="2" w:space="0" w:color="auto"/>
            </w:tcBorders>
          </w:tcPr>
          <w:p w14:paraId="3ED1BDAF" w14:textId="77777777" w:rsidR="00A43DDD" w:rsidRPr="00D15BDB" w:rsidRDefault="00A43DDD" w:rsidP="00A43DDD">
            <w:pPr>
              <w:autoSpaceDE w:val="0"/>
              <w:autoSpaceDN w:val="0"/>
              <w:rPr>
                <w:rFonts w:eastAsiaTheme="minorEastAsia"/>
                <w:noProof/>
                <w:szCs w:val="24"/>
                <w:lang w:eastAsia="en-GB"/>
              </w:rPr>
            </w:pPr>
            <w:r w:rsidRPr="00D15BDB">
              <w:rPr>
                <w:rFonts w:eastAsiaTheme="minorEastAsia"/>
                <w:noProof/>
                <w:szCs w:val="24"/>
                <w:lang w:eastAsia="en-GB"/>
              </w:rPr>
              <w:t>–</w:t>
            </w:r>
          </w:p>
        </w:tc>
        <w:tc>
          <w:tcPr>
            <w:tcW w:w="6129" w:type="dxa"/>
            <w:tcBorders>
              <w:top w:val="single" w:sz="2" w:space="0" w:color="auto"/>
              <w:left w:val="single" w:sz="2" w:space="0" w:color="auto"/>
              <w:bottom w:val="single" w:sz="2" w:space="0" w:color="auto"/>
              <w:right w:val="single" w:sz="2" w:space="0" w:color="auto"/>
            </w:tcBorders>
          </w:tcPr>
          <w:p w14:paraId="0F66AB1C" w14:textId="77777777" w:rsidR="00A43DDD" w:rsidRPr="006A68D6" w:rsidRDefault="00A43DDD" w:rsidP="00A43DDD">
            <w:pPr>
              <w:autoSpaceDE w:val="0"/>
              <w:autoSpaceDN w:val="0"/>
              <w:rPr>
                <w:rFonts w:eastAsiaTheme="minorEastAsia"/>
                <w:noProof/>
                <w:szCs w:val="24"/>
                <w:lang w:eastAsia="en-GB"/>
              </w:rPr>
            </w:pPr>
            <w:r w:rsidRPr="006A68D6">
              <w:rPr>
                <w:rFonts w:eastAsiaTheme="minorEastAsia"/>
                <w:noProof/>
                <w:szCs w:val="24"/>
                <w:lang w:eastAsia="en-GB"/>
              </w:rPr>
              <w:t>ensure transparency of ranking when proposing mobility options to the customers.</w:t>
            </w:r>
          </w:p>
        </w:tc>
      </w:tr>
    </w:tbl>
    <w:p w14:paraId="2FE35AFC" w14:textId="06C6BD07" w:rsidR="00892CAC" w:rsidRPr="00A43DDD" w:rsidRDefault="002E57E6" w:rsidP="00B20F13">
      <w:pPr>
        <w:rPr>
          <w:noProof/>
          <w:lang w:eastAsia="en-GB"/>
        </w:rPr>
        <w:sectPr w:rsidR="00892CAC" w:rsidRPr="00A43DDD" w:rsidSect="004209E8">
          <w:pgSz w:w="11907" w:h="16839"/>
          <w:pgMar w:top="1134" w:right="1417" w:bottom="1134" w:left="1417" w:header="709" w:footer="709" w:gutter="0"/>
          <w:cols w:space="720"/>
          <w:docGrid w:linePitch="360"/>
        </w:sectPr>
      </w:pPr>
      <w:r>
        <w:rPr>
          <w:noProof/>
          <w:lang w:eastAsia="en-GB"/>
        </w:rPr>
        <w:t xml:space="preserve"> </w:t>
      </w:r>
      <w:r w:rsidR="00FA216C">
        <w:rPr>
          <w:b/>
          <w:noProof/>
        </w:rPr>
        <w:t>’</w:t>
      </w:r>
      <w:r>
        <w:rPr>
          <w:noProof/>
          <w:lang w:eastAsia="en-GB"/>
        </w:rPr>
        <w:t>.</w:t>
      </w:r>
    </w:p>
    <w:p w14:paraId="402630BE" w14:textId="37EB3835" w:rsidR="00B37414" w:rsidRDefault="00B37414" w:rsidP="00874378">
      <w:pPr>
        <w:pStyle w:val="Annexetitre"/>
        <w:keepNext/>
        <w:rPr>
          <w:noProof/>
        </w:rPr>
      </w:pPr>
      <w:r w:rsidRPr="0050709C">
        <w:rPr>
          <w:noProof/>
          <w:u w:val="none"/>
        </w:rPr>
        <w:t>ANNEX</w:t>
      </w:r>
      <w:r w:rsidRPr="00510F34">
        <w:rPr>
          <w:noProof/>
          <w:u w:val="none"/>
        </w:rPr>
        <w:t xml:space="preserve"> </w:t>
      </w:r>
      <w:r w:rsidR="00216D97" w:rsidRPr="00582AFB">
        <w:rPr>
          <w:noProof/>
          <w:u w:val="none"/>
        </w:rPr>
        <w:t>III</w:t>
      </w:r>
    </w:p>
    <w:p w14:paraId="1428AF89" w14:textId="77777777" w:rsidR="00B37414" w:rsidRPr="007E6103" w:rsidRDefault="00721DFE" w:rsidP="007E6103">
      <w:pPr>
        <w:keepNext/>
        <w:widowControl w:val="0"/>
        <w:jc w:val="center"/>
        <w:rPr>
          <w:b/>
          <w:noProof/>
        </w:rPr>
      </w:pPr>
      <w:r w:rsidRPr="007E6103">
        <w:rPr>
          <w:b/>
          <w:noProof/>
        </w:rPr>
        <w:t>List of data types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2737"/>
        <w:gridCol w:w="28"/>
        <w:gridCol w:w="2710"/>
      </w:tblGrid>
      <w:tr w:rsidR="00B333F8" w:rsidRPr="006A68D6" w14:paraId="500C22CB" w14:textId="77777777" w:rsidTr="00874378">
        <w:tc>
          <w:tcPr>
            <w:tcW w:w="3811" w:type="dxa"/>
          </w:tcPr>
          <w:p w14:paraId="77E2CB52" w14:textId="77777777" w:rsidR="00B333F8" w:rsidRPr="006A68D6" w:rsidRDefault="00BF463F" w:rsidP="00304BFB">
            <w:pPr>
              <w:keepNext/>
              <w:autoSpaceDE w:val="0"/>
              <w:autoSpaceDN w:val="0"/>
              <w:spacing w:before="360"/>
              <w:outlineLvl w:val="0"/>
              <w:rPr>
                <w:b/>
                <w:bCs/>
                <w:noProof/>
              </w:rPr>
            </w:pPr>
            <w:r>
              <w:rPr>
                <w:b/>
                <w:bCs/>
                <w:noProof/>
              </w:rPr>
              <w:t>D</w:t>
            </w:r>
            <w:r w:rsidR="00B333F8" w:rsidRPr="006A68D6">
              <w:rPr>
                <w:b/>
                <w:bCs/>
                <w:noProof/>
              </w:rPr>
              <w:t>ata type</w:t>
            </w:r>
          </w:p>
        </w:tc>
        <w:tc>
          <w:tcPr>
            <w:tcW w:w="2765" w:type="dxa"/>
            <w:gridSpan w:val="2"/>
          </w:tcPr>
          <w:p w14:paraId="529EFD9A" w14:textId="77777777" w:rsidR="00B333F8" w:rsidRPr="006A68D6" w:rsidRDefault="00B333F8" w:rsidP="00304BFB">
            <w:pPr>
              <w:keepNext/>
              <w:autoSpaceDE w:val="0"/>
              <w:autoSpaceDN w:val="0"/>
              <w:spacing w:before="360"/>
              <w:outlineLvl w:val="0"/>
              <w:rPr>
                <w:b/>
                <w:bCs/>
                <w:noProof/>
              </w:rPr>
            </w:pPr>
            <w:r w:rsidRPr="006A68D6">
              <w:rPr>
                <w:b/>
                <w:bCs/>
                <w:noProof/>
              </w:rPr>
              <w:t>Geographical coverage</w:t>
            </w:r>
          </w:p>
        </w:tc>
        <w:tc>
          <w:tcPr>
            <w:tcW w:w="2710" w:type="dxa"/>
          </w:tcPr>
          <w:p w14:paraId="3873DDAE" w14:textId="77777777" w:rsidR="00B333F8" w:rsidRPr="006A68D6" w:rsidRDefault="00B333F8" w:rsidP="00304BFB">
            <w:pPr>
              <w:keepNext/>
              <w:autoSpaceDE w:val="0"/>
              <w:autoSpaceDN w:val="0"/>
              <w:spacing w:before="360"/>
              <w:outlineLvl w:val="0"/>
              <w:rPr>
                <w:b/>
                <w:bCs/>
                <w:noProof/>
              </w:rPr>
            </w:pPr>
            <w:r w:rsidRPr="006A68D6">
              <w:rPr>
                <w:b/>
                <w:bCs/>
                <w:noProof/>
              </w:rPr>
              <w:t>Date</w:t>
            </w:r>
          </w:p>
        </w:tc>
      </w:tr>
      <w:tr w:rsidR="00B333F8" w:rsidRPr="006A68D6" w14:paraId="3CB3747B" w14:textId="77777777" w:rsidTr="00874378">
        <w:tc>
          <w:tcPr>
            <w:tcW w:w="3811" w:type="dxa"/>
          </w:tcPr>
          <w:p w14:paraId="7C9FA3A1" w14:textId="6FD0FE6D" w:rsidR="00B333F8" w:rsidRPr="006A68D6" w:rsidRDefault="00B333F8" w:rsidP="00B4598C">
            <w:pPr>
              <w:keepNext/>
              <w:autoSpaceDE w:val="0"/>
              <w:autoSpaceDN w:val="0"/>
              <w:jc w:val="left"/>
              <w:outlineLvl w:val="0"/>
              <w:rPr>
                <w:b/>
                <w:bCs/>
                <w:noProof/>
              </w:rPr>
            </w:pPr>
            <w:r w:rsidRPr="006A68D6">
              <w:rPr>
                <w:b/>
                <w:bCs/>
                <w:noProof/>
              </w:rPr>
              <w:t xml:space="preserve">Types of data on regulations and restrictions (as </w:t>
            </w:r>
            <w:r w:rsidR="000A2DEE">
              <w:rPr>
                <w:b/>
                <w:bCs/>
                <w:noProof/>
              </w:rPr>
              <w:t>referred to</w:t>
            </w:r>
            <w:r w:rsidR="000A2DEE" w:rsidRPr="006A68D6">
              <w:rPr>
                <w:b/>
                <w:bCs/>
                <w:noProof/>
              </w:rPr>
              <w:t xml:space="preserve"> </w:t>
            </w:r>
            <w:r w:rsidRPr="006A68D6">
              <w:rPr>
                <w:b/>
                <w:bCs/>
                <w:noProof/>
              </w:rPr>
              <w:t xml:space="preserve">in Commission Delegated Regulation (EU) </w:t>
            </w:r>
            <w:r w:rsidR="00B4598C" w:rsidRPr="00B4598C">
              <w:rPr>
                <w:b/>
                <w:bCs/>
                <w:noProof/>
              </w:rPr>
              <w:t>2015/962</w:t>
            </w:r>
            <w:r w:rsidR="00B9149A">
              <w:rPr>
                <w:rStyle w:val="FootnoteReference"/>
                <w:b/>
                <w:bCs/>
                <w:noProof/>
              </w:rPr>
              <w:footnoteReference w:id="6"/>
            </w:r>
            <w:r w:rsidRPr="006A68D6">
              <w:rPr>
                <w:b/>
                <w:bCs/>
                <w:noProof/>
              </w:rPr>
              <w:t>):</w:t>
            </w:r>
          </w:p>
        </w:tc>
        <w:tc>
          <w:tcPr>
            <w:tcW w:w="2765" w:type="dxa"/>
            <w:gridSpan w:val="2"/>
          </w:tcPr>
          <w:p w14:paraId="1355482F" w14:textId="77777777" w:rsidR="00B333F8" w:rsidRPr="006A68D6" w:rsidRDefault="00B333F8" w:rsidP="00304BFB">
            <w:pPr>
              <w:keepNext/>
              <w:autoSpaceDE w:val="0"/>
              <w:autoSpaceDN w:val="0"/>
              <w:outlineLvl w:val="0"/>
              <w:rPr>
                <w:bCs/>
                <w:noProof/>
              </w:rPr>
            </w:pPr>
          </w:p>
        </w:tc>
        <w:tc>
          <w:tcPr>
            <w:tcW w:w="2710" w:type="dxa"/>
          </w:tcPr>
          <w:p w14:paraId="49BEEDBE" w14:textId="77777777" w:rsidR="00B333F8" w:rsidRPr="006A68D6" w:rsidRDefault="00B333F8" w:rsidP="00304BFB">
            <w:pPr>
              <w:keepNext/>
              <w:autoSpaceDE w:val="0"/>
              <w:autoSpaceDN w:val="0"/>
              <w:outlineLvl w:val="0"/>
              <w:rPr>
                <w:bCs/>
                <w:noProof/>
              </w:rPr>
            </w:pPr>
          </w:p>
        </w:tc>
      </w:tr>
      <w:tr w:rsidR="00B333F8" w:rsidRPr="006A68D6" w14:paraId="362BF40E" w14:textId="77777777" w:rsidTr="00874378">
        <w:trPr>
          <w:trHeight w:val="1715"/>
        </w:trPr>
        <w:tc>
          <w:tcPr>
            <w:tcW w:w="3811" w:type="dxa"/>
            <w:vMerge w:val="restart"/>
          </w:tcPr>
          <w:p w14:paraId="4B886016" w14:textId="77777777" w:rsidR="00B333F8" w:rsidRPr="006A68D6" w:rsidRDefault="00B333F8" w:rsidP="00304BFB">
            <w:pPr>
              <w:keepNext/>
              <w:autoSpaceDE w:val="0"/>
              <w:autoSpaceDN w:val="0"/>
              <w:outlineLvl w:val="0"/>
              <w:rPr>
                <w:bCs/>
                <w:noProof/>
              </w:rPr>
            </w:pPr>
            <w:r w:rsidRPr="006A68D6">
              <w:rPr>
                <w:bCs/>
                <w:noProof/>
              </w:rPr>
              <w:t>Static and dynamic traffic regulations, where applicable, including:</w:t>
            </w:r>
          </w:p>
          <w:p w14:paraId="49DAF7D2" w14:textId="77777777" w:rsidR="00B333F8" w:rsidRPr="00AD6972" w:rsidRDefault="00B333F8" w:rsidP="007F0F9C">
            <w:pPr>
              <w:pStyle w:val="ListParagraph"/>
              <w:keepNext/>
              <w:numPr>
                <w:ilvl w:val="0"/>
                <w:numId w:val="1"/>
              </w:numPr>
              <w:autoSpaceDE w:val="0"/>
              <w:autoSpaceDN w:val="0"/>
              <w:spacing w:before="120" w:after="120" w:line="240" w:lineRule="auto"/>
              <w:ind w:left="714" w:hanging="357"/>
              <w:jc w:val="both"/>
              <w:outlineLvl w:val="0"/>
              <w:rPr>
                <w:rFonts w:ascii="Times New Roman" w:hAnsi="Times New Roman" w:cs="Times New Roman"/>
                <w:bCs/>
                <w:noProof/>
                <w:sz w:val="24"/>
                <w:szCs w:val="24"/>
              </w:rPr>
            </w:pPr>
            <w:r w:rsidRPr="00AD6972">
              <w:rPr>
                <w:rFonts w:ascii="Times New Roman" w:hAnsi="Times New Roman" w:cs="Times New Roman"/>
                <w:bCs/>
                <w:noProof/>
                <w:sz w:val="24"/>
                <w:szCs w:val="24"/>
              </w:rPr>
              <w:t>access conditions for tunnels</w:t>
            </w:r>
          </w:p>
          <w:p w14:paraId="7062063B" w14:textId="77777777" w:rsidR="00B333F8" w:rsidRPr="00AD6972" w:rsidRDefault="00B333F8"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sidRPr="00AD6972">
              <w:rPr>
                <w:rFonts w:ascii="Times New Roman" w:hAnsi="Times New Roman" w:cs="Times New Roman"/>
                <w:bCs/>
                <w:noProof/>
                <w:sz w:val="24"/>
                <w:szCs w:val="24"/>
              </w:rPr>
              <w:t>access conditions for bridges</w:t>
            </w:r>
          </w:p>
          <w:p w14:paraId="7B96088E" w14:textId="77777777" w:rsidR="00B333F8" w:rsidRPr="00AD6972" w:rsidRDefault="00B333F8"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sidRPr="00AD6972">
              <w:rPr>
                <w:rFonts w:ascii="Times New Roman" w:hAnsi="Times New Roman" w:cs="Times New Roman"/>
                <w:bCs/>
                <w:noProof/>
                <w:sz w:val="24"/>
                <w:szCs w:val="24"/>
              </w:rPr>
              <w:t>speed limits</w:t>
            </w:r>
          </w:p>
          <w:p w14:paraId="45D32AFE" w14:textId="77777777" w:rsidR="00B333F8" w:rsidRPr="00AD6972" w:rsidRDefault="00B333F8"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sidRPr="00AD6972">
              <w:rPr>
                <w:rFonts w:ascii="Times New Roman" w:hAnsi="Times New Roman" w:cs="Times New Roman"/>
                <w:noProof/>
                <w:sz w:val="24"/>
                <w:szCs w:val="24"/>
              </w:rPr>
              <w:t>freight delivery regulations</w:t>
            </w:r>
          </w:p>
          <w:p w14:paraId="51253268" w14:textId="77777777" w:rsidR="00B333F8" w:rsidRPr="00AD6972" w:rsidRDefault="00B333F8"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sidRPr="00AD6972">
              <w:rPr>
                <w:rFonts w:ascii="Times New Roman" w:hAnsi="Times New Roman" w:cs="Times New Roman"/>
                <w:bCs/>
                <w:noProof/>
                <w:sz w:val="24"/>
                <w:szCs w:val="24"/>
              </w:rPr>
              <w:t>overtaking bans on heavy goods vehicles</w:t>
            </w:r>
          </w:p>
          <w:p w14:paraId="434F1133" w14:textId="77777777" w:rsidR="00B333F8" w:rsidRPr="006A68D6" w:rsidRDefault="00B333F8" w:rsidP="007F0F9C">
            <w:pPr>
              <w:pStyle w:val="ListParagraph"/>
              <w:keepNext/>
              <w:numPr>
                <w:ilvl w:val="0"/>
                <w:numId w:val="1"/>
              </w:numPr>
              <w:autoSpaceDE w:val="0"/>
              <w:autoSpaceDN w:val="0"/>
              <w:spacing w:before="360" w:after="120" w:line="240" w:lineRule="auto"/>
              <w:jc w:val="both"/>
              <w:outlineLvl w:val="0"/>
              <w:rPr>
                <w:bCs/>
                <w:noProof/>
              </w:rPr>
            </w:pPr>
            <w:r w:rsidRPr="00AD6972">
              <w:rPr>
                <w:rFonts w:ascii="Times New Roman" w:hAnsi="Times New Roman" w:cs="Times New Roman"/>
                <w:bCs/>
                <w:noProof/>
                <w:sz w:val="24"/>
                <w:szCs w:val="24"/>
              </w:rPr>
              <w:t>direction of travel on reversible lanes</w:t>
            </w:r>
          </w:p>
        </w:tc>
        <w:tc>
          <w:tcPr>
            <w:tcW w:w="2765" w:type="dxa"/>
            <w:gridSpan w:val="2"/>
          </w:tcPr>
          <w:p w14:paraId="4B53A85E" w14:textId="0E68B134" w:rsidR="00B333F8" w:rsidRPr="006A68D6" w:rsidRDefault="00B333F8" w:rsidP="006C5AE4">
            <w:pPr>
              <w:keepNext/>
              <w:autoSpaceDE w:val="0"/>
              <w:autoSpaceDN w:val="0"/>
              <w:outlineLvl w:val="0"/>
              <w:rPr>
                <w:bCs/>
                <w:noProof/>
              </w:rPr>
            </w:pPr>
            <w:r w:rsidRPr="006A68D6">
              <w:rPr>
                <w:bCs/>
                <w:noProof/>
              </w:rPr>
              <w:t xml:space="preserve">The </w:t>
            </w:r>
            <w:r w:rsidR="000A2DEE">
              <w:rPr>
                <w:bCs/>
                <w:noProof/>
              </w:rPr>
              <w:t xml:space="preserve">trans-European </w:t>
            </w:r>
            <w:r w:rsidRPr="006A68D6">
              <w:rPr>
                <w:bCs/>
                <w:noProof/>
              </w:rPr>
              <w:t>network</w:t>
            </w:r>
            <w:r w:rsidR="006C5AE4">
              <w:rPr>
                <w:bCs/>
                <w:noProof/>
              </w:rPr>
              <w:t xml:space="preserve"> for roads</w:t>
            </w:r>
            <w:r w:rsidRPr="006A68D6">
              <w:rPr>
                <w:bCs/>
                <w:noProof/>
              </w:rPr>
              <w:t>, other motorways not included in th</w:t>
            </w:r>
            <w:r w:rsidR="000A2DEE">
              <w:rPr>
                <w:bCs/>
                <w:noProof/>
              </w:rPr>
              <w:t>at</w:t>
            </w:r>
            <w:r w:rsidRPr="006A68D6">
              <w:rPr>
                <w:bCs/>
                <w:noProof/>
              </w:rPr>
              <w:t xml:space="preserve"> network and primary roads</w:t>
            </w:r>
          </w:p>
        </w:tc>
        <w:tc>
          <w:tcPr>
            <w:tcW w:w="2710" w:type="dxa"/>
          </w:tcPr>
          <w:p w14:paraId="636F0BFE" w14:textId="77777777" w:rsidR="00B333F8" w:rsidRPr="006A68D6" w:rsidRDefault="00B333F8" w:rsidP="00EA3874">
            <w:pPr>
              <w:keepNext/>
              <w:autoSpaceDE w:val="0"/>
              <w:autoSpaceDN w:val="0"/>
              <w:spacing w:before="360"/>
              <w:outlineLvl w:val="0"/>
              <w:rPr>
                <w:bCs/>
                <w:noProof/>
              </w:rPr>
            </w:pPr>
            <w:r w:rsidRPr="006A68D6">
              <w:rPr>
                <w:bCs/>
                <w:noProof/>
              </w:rPr>
              <w:t xml:space="preserve">31 December 2025 </w:t>
            </w:r>
          </w:p>
        </w:tc>
      </w:tr>
      <w:tr w:rsidR="00B333F8" w:rsidRPr="006A68D6" w14:paraId="36D31E3F" w14:textId="77777777" w:rsidTr="00874378">
        <w:trPr>
          <w:trHeight w:val="1714"/>
        </w:trPr>
        <w:tc>
          <w:tcPr>
            <w:tcW w:w="3811" w:type="dxa"/>
            <w:vMerge/>
          </w:tcPr>
          <w:p w14:paraId="4F3E7C53" w14:textId="77777777" w:rsidR="00B333F8" w:rsidRPr="006A68D6" w:rsidRDefault="00B333F8" w:rsidP="00304BFB">
            <w:pPr>
              <w:keepNext/>
              <w:autoSpaceDE w:val="0"/>
              <w:autoSpaceDN w:val="0"/>
              <w:outlineLvl w:val="0"/>
              <w:rPr>
                <w:bCs/>
                <w:noProof/>
              </w:rPr>
            </w:pPr>
          </w:p>
        </w:tc>
        <w:tc>
          <w:tcPr>
            <w:tcW w:w="2765" w:type="dxa"/>
            <w:gridSpan w:val="2"/>
          </w:tcPr>
          <w:p w14:paraId="2B3461AF" w14:textId="27F251DF" w:rsidR="00B333F8" w:rsidRPr="006A68D6" w:rsidRDefault="00B333F8" w:rsidP="00B4598C">
            <w:pPr>
              <w:keepNext/>
              <w:autoSpaceDE w:val="0"/>
              <w:autoSpaceDN w:val="0"/>
              <w:outlineLvl w:val="0"/>
              <w:rPr>
                <w:bCs/>
                <w:noProof/>
              </w:rPr>
            </w:pPr>
            <w:r w:rsidRPr="006A68D6">
              <w:rPr>
                <w:bCs/>
                <w:noProof/>
              </w:rPr>
              <w:t xml:space="preserve">The entire road network of the </w:t>
            </w:r>
            <w:r w:rsidR="0009561A">
              <w:rPr>
                <w:bCs/>
                <w:noProof/>
              </w:rPr>
              <w:t>EU</w:t>
            </w:r>
            <w:r w:rsidR="0009561A" w:rsidRPr="006A68D6">
              <w:rPr>
                <w:bCs/>
                <w:noProof/>
              </w:rPr>
              <w:t xml:space="preserve"> </w:t>
            </w:r>
            <w:r w:rsidRPr="006A68D6">
              <w:rPr>
                <w:bCs/>
                <w:noProof/>
              </w:rPr>
              <w:t>that is publicly accessible to motorised traffic, with the exception of private roads</w:t>
            </w:r>
          </w:p>
        </w:tc>
        <w:tc>
          <w:tcPr>
            <w:tcW w:w="2710" w:type="dxa"/>
          </w:tcPr>
          <w:p w14:paraId="13942EC6" w14:textId="77777777" w:rsidR="00B333F8" w:rsidRPr="006A68D6" w:rsidRDefault="00B333F8" w:rsidP="00EA3874">
            <w:pPr>
              <w:keepNext/>
              <w:autoSpaceDE w:val="0"/>
              <w:autoSpaceDN w:val="0"/>
              <w:spacing w:before="360"/>
              <w:outlineLvl w:val="0"/>
              <w:rPr>
                <w:bCs/>
                <w:noProof/>
              </w:rPr>
            </w:pPr>
            <w:r w:rsidRPr="006A68D6">
              <w:rPr>
                <w:bCs/>
                <w:noProof/>
              </w:rPr>
              <w:t>31 December 202</w:t>
            </w:r>
            <w:r w:rsidR="00EA3874">
              <w:rPr>
                <w:bCs/>
                <w:noProof/>
              </w:rPr>
              <w:t>8</w:t>
            </w:r>
          </w:p>
        </w:tc>
      </w:tr>
      <w:tr w:rsidR="00B333F8" w:rsidRPr="006A68D6" w14:paraId="7F68E624" w14:textId="77777777" w:rsidTr="00874378">
        <w:tc>
          <w:tcPr>
            <w:tcW w:w="3811" w:type="dxa"/>
          </w:tcPr>
          <w:p w14:paraId="5C3C3931" w14:textId="77777777" w:rsidR="00B333F8" w:rsidRPr="006A68D6" w:rsidRDefault="00494846" w:rsidP="007F0F9C">
            <w:pPr>
              <w:pStyle w:val="ListParagraph"/>
              <w:keepNext/>
              <w:numPr>
                <w:ilvl w:val="0"/>
                <w:numId w:val="1"/>
              </w:numPr>
              <w:autoSpaceDE w:val="0"/>
              <w:autoSpaceDN w:val="0"/>
              <w:spacing w:before="120" w:after="120" w:line="240" w:lineRule="auto"/>
              <w:ind w:left="714" w:hanging="357"/>
              <w:jc w:val="both"/>
              <w:outlineLvl w:val="0"/>
              <w:rPr>
                <w:bCs/>
                <w:noProof/>
              </w:rPr>
            </w:pPr>
            <w:r>
              <w:rPr>
                <w:rFonts w:ascii="Times New Roman" w:hAnsi="Times New Roman" w:cs="Times New Roman"/>
                <w:bCs/>
                <w:noProof/>
                <w:sz w:val="24"/>
                <w:szCs w:val="24"/>
              </w:rPr>
              <w:t>t</w:t>
            </w:r>
            <w:r w:rsidR="00B333F8" w:rsidRPr="00494846">
              <w:rPr>
                <w:rFonts w:ascii="Times New Roman" w:hAnsi="Times New Roman" w:cs="Times New Roman"/>
                <w:bCs/>
                <w:noProof/>
                <w:sz w:val="24"/>
                <w:szCs w:val="24"/>
              </w:rPr>
              <w:t>raffic circulations plans</w:t>
            </w:r>
          </w:p>
        </w:tc>
        <w:tc>
          <w:tcPr>
            <w:tcW w:w="2765" w:type="dxa"/>
            <w:gridSpan w:val="2"/>
          </w:tcPr>
          <w:p w14:paraId="0D6AF2A2" w14:textId="77777777" w:rsidR="00B333F8" w:rsidRPr="006A68D6" w:rsidRDefault="00B333F8" w:rsidP="00304BFB">
            <w:pPr>
              <w:keepNext/>
              <w:autoSpaceDE w:val="0"/>
              <w:autoSpaceDN w:val="0"/>
              <w:outlineLvl w:val="0"/>
              <w:rPr>
                <w:bCs/>
                <w:noProof/>
              </w:rPr>
            </w:pPr>
            <w:r w:rsidRPr="006A68D6">
              <w:rPr>
                <w:bCs/>
                <w:noProof/>
              </w:rPr>
              <w:t>The entire road network that is publicly accessible to motorised traffic</w:t>
            </w:r>
          </w:p>
        </w:tc>
        <w:tc>
          <w:tcPr>
            <w:tcW w:w="2710" w:type="dxa"/>
          </w:tcPr>
          <w:p w14:paraId="5AEADE8E" w14:textId="77777777" w:rsidR="00B333F8" w:rsidRPr="006A68D6" w:rsidRDefault="00EA3874" w:rsidP="00304BFB">
            <w:pPr>
              <w:keepNext/>
              <w:autoSpaceDE w:val="0"/>
              <w:autoSpaceDN w:val="0"/>
              <w:outlineLvl w:val="0"/>
              <w:rPr>
                <w:bCs/>
                <w:noProof/>
              </w:rPr>
            </w:pPr>
            <w:r w:rsidRPr="006A68D6">
              <w:rPr>
                <w:bCs/>
                <w:noProof/>
              </w:rPr>
              <w:t>31 December 2025</w:t>
            </w:r>
          </w:p>
        </w:tc>
      </w:tr>
      <w:tr w:rsidR="00B333F8" w:rsidRPr="006A68D6" w14:paraId="5EF43298" w14:textId="77777777" w:rsidTr="00874378">
        <w:tc>
          <w:tcPr>
            <w:tcW w:w="3811" w:type="dxa"/>
          </w:tcPr>
          <w:p w14:paraId="426D31A1" w14:textId="77777777" w:rsidR="00B333F8" w:rsidRPr="006A68D6" w:rsidRDefault="00B333F8" w:rsidP="007F0F9C">
            <w:pPr>
              <w:pStyle w:val="ListParagraph"/>
              <w:keepNext/>
              <w:numPr>
                <w:ilvl w:val="0"/>
                <w:numId w:val="1"/>
              </w:numPr>
              <w:autoSpaceDE w:val="0"/>
              <w:autoSpaceDN w:val="0"/>
              <w:spacing w:before="360" w:after="120" w:line="240" w:lineRule="auto"/>
              <w:jc w:val="both"/>
              <w:outlineLvl w:val="0"/>
              <w:rPr>
                <w:bCs/>
                <w:noProof/>
              </w:rPr>
            </w:pPr>
            <w:r w:rsidRPr="00AD6972">
              <w:rPr>
                <w:rFonts w:ascii="Times New Roman" w:hAnsi="Times New Roman" w:cs="Times New Roman"/>
                <w:bCs/>
                <w:noProof/>
                <w:sz w:val="24"/>
                <w:szCs w:val="24"/>
              </w:rPr>
              <w:t>permanent access restrictions</w:t>
            </w:r>
          </w:p>
        </w:tc>
        <w:tc>
          <w:tcPr>
            <w:tcW w:w="2765" w:type="dxa"/>
            <w:gridSpan w:val="2"/>
          </w:tcPr>
          <w:p w14:paraId="7215BBEF" w14:textId="77777777" w:rsidR="00B333F8" w:rsidRPr="006A68D6" w:rsidRDefault="00B333F8" w:rsidP="00304BFB">
            <w:pPr>
              <w:keepNext/>
              <w:autoSpaceDE w:val="0"/>
              <w:autoSpaceDN w:val="0"/>
              <w:outlineLvl w:val="0"/>
              <w:rPr>
                <w:bCs/>
                <w:noProof/>
              </w:rPr>
            </w:pPr>
            <w:r w:rsidRPr="006A68D6">
              <w:rPr>
                <w:bCs/>
                <w:noProof/>
              </w:rPr>
              <w:t>The entire road network that is publicly accessible to motorised traffic</w:t>
            </w:r>
          </w:p>
        </w:tc>
        <w:tc>
          <w:tcPr>
            <w:tcW w:w="2710" w:type="dxa"/>
          </w:tcPr>
          <w:p w14:paraId="46D7C6D8" w14:textId="77777777" w:rsidR="00B333F8" w:rsidRPr="006A68D6" w:rsidRDefault="00B333F8" w:rsidP="00304BFB">
            <w:pPr>
              <w:keepNext/>
              <w:autoSpaceDE w:val="0"/>
              <w:autoSpaceDN w:val="0"/>
              <w:outlineLvl w:val="0"/>
              <w:rPr>
                <w:bCs/>
                <w:noProof/>
              </w:rPr>
            </w:pPr>
            <w:r w:rsidRPr="006A68D6">
              <w:rPr>
                <w:bCs/>
                <w:noProof/>
              </w:rPr>
              <w:t>31 December 2025</w:t>
            </w:r>
          </w:p>
        </w:tc>
      </w:tr>
      <w:tr w:rsidR="00B333F8" w:rsidRPr="006A68D6" w14:paraId="797B56B5" w14:textId="77777777" w:rsidTr="00874378">
        <w:tc>
          <w:tcPr>
            <w:tcW w:w="3811" w:type="dxa"/>
          </w:tcPr>
          <w:p w14:paraId="5945E129" w14:textId="7BC599DE" w:rsidR="00B333F8" w:rsidRPr="006A68D6" w:rsidRDefault="00B333F8" w:rsidP="00B4598C">
            <w:pPr>
              <w:keepNext/>
              <w:autoSpaceDE w:val="0"/>
              <w:autoSpaceDN w:val="0"/>
              <w:jc w:val="left"/>
              <w:outlineLvl w:val="0"/>
              <w:rPr>
                <w:b/>
                <w:bCs/>
                <w:noProof/>
              </w:rPr>
            </w:pPr>
            <w:r w:rsidRPr="006A68D6">
              <w:rPr>
                <w:b/>
                <w:bCs/>
                <w:noProof/>
              </w:rPr>
              <w:t xml:space="preserve">Types of data on the state of the network (as </w:t>
            </w:r>
            <w:r w:rsidR="000A2DEE">
              <w:rPr>
                <w:b/>
                <w:bCs/>
                <w:noProof/>
              </w:rPr>
              <w:t>referred to</w:t>
            </w:r>
            <w:r w:rsidR="000A2DEE" w:rsidRPr="006A68D6">
              <w:rPr>
                <w:b/>
                <w:bCs/>
                <w:noProof/>
              </w:rPr>
              <w:t xml:space="preserve"> </w:t>
            </w:r>
            <w:r w:rsidRPr="006A68D6">
              <w:rPr>
                <w:b/>
                <w:bCs/>
                <w:noProof/>
              </w:rPr>
              <w:t xml:space="preserve">in Commission Delegated Regulation (EU) </w:t>
            </w:r>
            <w:r w:rsidR="00B4598C" w:rsidRPr="00B4598C">
              <w:rPr>
                <w:b/>
                <w:bCs/>
                <w:noProof/>
              </w:rPr>
              <w:t>2015/962</w:t>
            </w:r>
            <w:r w:rsidRPr="006A68D6">
              <w:rPr>
                <w:b/>
                <w:bCs/>
                <w:noProof/>
              </w:rPr>
              <w:t>):</w:t>
            </w:r>
          </w:p>
        </w:tc>
        <w:tc>
          <w:tcPr>
            <w:tcW w:w="2765" w:type="dxa"/>
            <w:gridSpan w:val="2"/>
          </w:tcPr>
          <w:p w14:paraId="68DBC9F8" w14:textId="77777777" w:rsidR="00B333F8" w:rsidRPr="006A68D6" w:rsidRDefault="00B333F8" w:rsidP="00304BFB">
            <w:pPr>
              <w:keepNext/>
              <w:autoSpaceDE w:val="0"/>
              <w:autoSpaceDN w:val="0"/>
              <w:spacing w:before="360"/>
              <w:outlineLvl w:val="0"/>
              <w:rPr>
                <w:bCs/>
                <w:noProof/>
              </w:rPr>
            </w:pPr>
          </w:p>
        </w:tc>
        <w:tc>
          <w:tcPr>
            <w:tcW w:w="2710" w:type="dxa"/>
          </w:tcPr>
          <w:p w14:paraId="52E01465" w14:textId="77777777" w:rsidR="00B333F8" w:rsidRPr="006A68D6" w:rsidRDefault="00B333F8" w:rsidP="00304BFB">
            <w:pPr>
              <w:keepNext/>
              <w:autoSpaceDE w:val="0"/>
              <w:autoSpaceDN w:val="0"/>
              <w:spacing w:before="360"/>
              <w:outlineLvl w:val="0"/>
              <w:rPr>
                <w:bCs/>
                <w:noProof/>
              </w:rPr>
            </w:pPr>
          </w:p>
        </w:tc>
      </w:tr>
      <w:tr w:rsidR="00B333F8" w:rsidRPr="006A68D6" w14:paraId="40E2F33A" w14:textId="77777777" w:rsidTr="00874378">
        <w:trPr>
          <w:trHeight w:val="970"/>
        </w:trPr>
        <w:tc>
          <w:tcPr>
            <w:tcW w:w="3811" w:type="dxa"/>
            <w:vMerge w:val="restart"/>
          </w:tcPr>
          <w:p w14:paraId="0BBA4CCD" w14:textId="77777777" w:rsidR="00B333F8" w:rsidRPr="00494846" w:rsidRDefault="00494846" w:rsidP="007F0F9C">
            <w:pPr>
              <w:pStyle w:val="ListParagraph"/>
              <w:keepNext/>
              <w:numPr>
                <w:ilvl w:val="0"/>
                <w:numId w:val="1"/>
              </w:numPr>
              <w:autoSpaceDE w:val="0"/>
              <w:autoSpaceDN w:val="0"/>
              <w:spacing w:after="120" w:line="240" w:lineRule="auto"/>
              <w:ind w:left="714" w:hanging="357"/>
              <w:jc w:val="both"/>
              <w:outlineLvl w:val="0"/>
              <w:rPr>
                <w:rFonts w:ascii="Times New Roman" w:hAnsi="Times New Roman" w:cs="Times New Roman"/>
                <w:bCs/>
                <w:noProof/>
                <w:sz w:val="24"/>
                <w:szCs w:val="24"/>
              </w:rPr>
            </w:pPr>
            <w:r>
              <w:rPr>
                <w:rFonts w:ascii="Times New Roman" w:hAnsi="Times New Roman" w:cs="Times New Roman"/>
                <w:bCs/>
                <w:noProof/>
                <w:sz w:val="24"/>
                <w:szCs w:val="24"/>
              </w:rPr>
              <w:t>r</w:t>
            </w:r>
            <w:r w:rsidR="00B333F8" w:rsidRPr="00494846">
              <w:rPr>
                <w:rFonts w:ascii="Times New Roman" w:hAnsi="Times New Roman" w:cs="Times New Roman"/>
                <w:bCs/>
                <w:noProof/>
                <w:sz w:val="24"/>
                <w:szCs w:val="24"/>
              </w:rPr>
              <w:t>oad closures</w:t>
            </w:r>
          </w:p>
          <w:p w14:paraId="05210F72" w14:textId="77777777" w:rsidR="00B333F8" w:rsidRPr="00494846" w:rsidRDefault="00370989"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Pr>
                <w:rFonts w:ascii="Times New Roman" w:hAnsi="Times New Roman" w:cs="Times New Roman"/>
                <w:bCs/>
                <w:noProof/>
                <w:sz w:val="24"/>
                <w:szCs w:val="24"/>
              </w:rPr>
              <w:t>l</w:t>
            </w:r>
            <w:r w:rsidR="00B333F8" w:rsidRPr="00494846">
              <w:rPr>
                <w:rFonts w:ascii="Times New Roman" w:hAnsi="Times New Roman" w:cs="Times New Roman"/>
                <w:bCs/>
                <w:noProof/>
                <w:sz w:val="24"/>
                <w:szCs w:val="24"/>
              </w:rPr>
              <w:t>ane closures</w:t>
            </w:r>
          </w:p>
          <w:p w14:paraId="605A3A04" w14:textId="77777777" w:rsidR="00B333F8" w:rsidRPr="00494846" w:rsidRDefault="00494846" w:rsidP="007F0F9C">
            <w:pPr>
              <w:pStyle w:val="ListParagraph"/>
              <w:keepNext/>
              <w:numPr>
                <w:ilvl w:val="0"/>
                <w:numId w:val="1"/>
              </w:numPr>
              <w:autoSpaceDE w:val="0"/>
              <w:autoSpaceDN w:val="0"/>
              <w:spacing w:before="360" w:after="120" w:line="240" w:lineRule="auto"/>
              <w:jc w:val="both"/>
              <w:outlineLvl w:val="0"/>
              <w:rPr>
                <w:rFonts w:ascii="Times New Roman" w:hAnsi="Times New Roman" w:cs="Times New Roman"/>
                <w:bCs/>
                <w:noProof/>
                <w:sz w:val="24"/>
                <w:szCs w:val="24"/>
              </w:rPr>
            </w:pPr>
            <w:r>
              <w:rPr>
                <w:rFonts w:ascii="Times New Roman" w:hAnsi="Times New Roman" w:cs="Times New Roman"/>
                <w:bCs/>
                <w:noProof/>
                <w:sz w:val="24"/>
                <w:szCs w:val="24"/>
              </w:rPr>
              <w:t>r</w:t>
            </w:r>
            <w:r w:rsidR="00B333F8" w:rsidRPr="00494846">
              <w:rPr>
                <w:rFonts w:ascii="Times New Roman" w:hAnsi="Times New Roman" w:cs="Times New Roman"/>
                <w:bCs/>
                <w:noProof/>
                <w:sz w:val="24"/>
                <w:szCs w:val="24"/>
              </w:rPr>
              <w:t>oadworks</w:t>
            </w:r>
          </w:p>
          <w:p w14:paraId="00708EBD" w14:textId="77777777" w:rsidR="00B333F8" w:rsidRPr="006A68D6" w:rsidRDefault="00494846" w:rsidP="007F0F9C">
            <w:pPr>
              <w:pStyle w:val="ListParagraph"/>
              <w:keepNext/>
              <w:numPr>
                <w:ilvl w:val="0"/>
                <w:numId w:val="1"/>
              </w:numPr>
              <w:autoSpaceDE w:val="0"/>
              <w:autoSpaceDN w:val="0"/>
              <w:spacing w:before="360" w:after="120" w:line="240" w:lineRule="auto"/>
              <w:jc w:val="both"/>
              <w:outlineLvl w:val="0"/>
              <w:rPr>
                <w:bCs/>
                <w:noProof/>
              </w:rPr>
            </w:pPr>
            <w:r>
              <w:rPr>
                <w:rFonts w:ascii="Times New Roman" w:hAnsi="Times New Roman" w:cs="Times New Roman"/>
                <w:bCs/>
                <w:noProof/>
                <w:sz w:val="24"/>
                <w:szCs w:val="24"/>
              </w:rPr>
              <w:t>t</w:t>
            </w:r>
            <w:r w:rsidR="00B333F8" w:rsidRPr="00494846">
              <w:rPr>
                <w:rFonts w:ascii="Times New Roman" w:hAnsi="Times New Roman" w:cs="Times New Roman"/>
                <w:bCs/>
                <w:noProof/>
                <w:sz w:val="24"/>
                <w:szCs w:val="24"/>
              </w:rPr>
              <w:t>emporary traffic management measures</w:t>
            </w:r>
          </w:p>
        </w:tc>
        <w:tc>
          <w:tcPr>
            <w:tcW w:w="2737" w:type="dxa"/>
          </w:tcPr>
          <w:p w14:paraId="79208F9F" w14:textId="58CD9196" w:rsidR="00B333F8" w:rsidRPr="006A68D6" w:rsidRDefault="00B333F8" w:rsidP="006C5AE4">
            <w:pPr>
              <w:keepNext/>
              <w:autoSpaceDE w:val="0"/>
              <w:autoSpaceDN w:val="0"/>
              <w:outlineLvl w:val="0"/>
              <w:rPr>
                <w:bCs/>
                <w:noProof/>
              </w:rPr>
            </w:pPr>
            <w:r w:rsidRPr="006A68D6">
              <w:rPr>
                <w:bCs/>
                <w:noProof/>
              </w:rPr>
              <w:t xml:space="preserve">The </w:t>
            </w:r>
            <w:r w:rsidR="000A2DEE">
              <w:rPr>
                <w:bCs/>
                <w:noProof/>
              </w:rPr>
              <w:t xml:space="preserve">trans-European </w:t>
            </w:r>
            <w:r w:rsidRPr="006A68D6">
              <w:rPr>
                <w:bCs/>
                <w:noProof/>
              </w:rPr>
              <w:t>network</w:t>
            </w:r>
            <w:r w:rsidR="006C5AE4">
              <w:rPr>
                <w:bCs/>
                <w:noProof/>
              </w:rPr>
              <w:t xml:space="preserve"> for roads</w:t>
            </w:r>
            <w:r w:rsidRPr="006A68D6">
              <w:rPr>
                <w:bCs/>
                <w:noProof/>
              </w:rPr>
              <w:t>, other motorways not included in th</w:t>
            </w:r>
            <w:r w:rsidR="000A2DEE">
              <w:rPr>
                <w:bCs/>
                <w:noProof/>
              </w:rPr>
              <w:t>at</w:t>
            </w:r>
            <w:r w:rsidRPr="006A68D6">
              <w:rPr>
                <w:bCs/>
                <w:noProof/>
              </w:rPr>
              <w:t xml:space="preserve"> network and primary roads</w:t>
            </w:r>
          </w:p>
        </w:tc>
        <w:tc>
          <w:tcPr>
            <w:tcW w:w="2738" w:type="dxa"/>
            <w:gridSpan w:val="2"/>
          </w:tcPr>
          <w:p w14:paraId="7132B1FC" w14:textId="77777777" w:rsidR="00B333F8" w:rsidRPr="006A68D6" w:rsidRDefault="00B333F8" w:rsidP="00497712">
            <w:pPr>
              <w:keepNext/>
              <w:autoSpaceDE w:val="0"/>
              <w:autoSpaceDN w:val="0"/>
              <w:spacing w:before="360"/>
              <w:outlineLvl w:val="0"/>
              <w:rPr>
                <w:bCs/>
                <w:noProof/>
              </w:rPr>
            </w:pPr>
            <w:r w:rsidRPr="006A68D6">
              <w:rPr>
                <w:bCs/>
                <w:noProof/>
              </w:rPr>
              <w:t xml:space="preserve">31 December 2025 </w:t>
            </w:r>
          </w:p>
        </w:tc>
      </w:tr>
      <w:tr w:rsidR="00B333F8" w:rsidRPr="006A68D6" w14:paraId="3D331457" w14:textId="77777777" w:rsidTr="00874378">
        <w:trPr>
          <w:trHeight w:val="969"/>
        </w:trPr>
        <w:tc>
          <w:tcPr>
            <w:tcW w:w="3811" w:type="dxa"/>
            <w:vMerge/>
          </w:tcPr>
          <w:p w14:paraId="5D99DA73" w14:textId="77777777" w:rsidR="00B333F8" w:rsidRPr="006A68D6" w:rsidRDefault="00B333F8" w:rsidP="00304BFB">
            <w:pPr>
              <w:keepNext/>
              <w:autoSpaceDE w:val="0"/>
              <w:autoSpaceDN w:val="0"/>
              <w:outlineLvl w:val="0"/>
              <w:rPr>
                <w:bCs/>
                <w:noProof/>
              </w:rPr>
            </w:pPr>
          </w:p>
        </w:tc>
        <w:tc>
          <w:tcPr>
            <w:tcW w:w="2737" w:type="dxa"/>
          </w:tcPr>
          <w:p w14:paraId="725E5A92" w14:textId="6641B8DA" w:rsidR="00B333F8" w:rsidRPr="006A68D6" w:rsidRDefault="00B333F8" w:rsidP="00B4598C">
            <w:pPr>
              <w:keepNext/>
              <w:autoSpaceDE w:val="0"/>
              <w:autoSpaceDN w:val="0"/>
              <w:outlineLvl w:val="0"/>
              <w:rPr>
                <w:bCs/>
                <w:noProof/>
              </w:rPr>
            </w:pPr>
            <w:r w:rsidRPr="006A68D6">
              <w:rPr>
                <w:bCs/>
                <w:noProof/>
              </w:rPr>
              <w:t xml:space="preserve">The entire road network of the </w:t>
            </w:r>
            <w:r w:rsidR="0009561A">
              <w:rPr>
                <w:bCs/>
                <w:noProof/>
              </w:rPr>
              <w:t>EU</w:t>
            </w:r>
            <w:r w:rsidR="0009561A" w:rsidRPr="006A68D6">
              <w:rPr>
                <w:bCs/>
                <w:noProof/>
              </w:rPr>
              <w:t xml:space="preserve"> </w:t>
            </w:r>
            <w:r w:rsidRPr="006A68D6">
              <w:rPr>
                <w:bCs/>
                <w:noProof/>
              </w:rPr>
              <w:t>that is publicly accessible to motorised traffic, with the exception of private roads</w:t>
            </w:r>
          </w:p>
        </w:tc>
        <w:tc>
          <w:tcPr>
            <w:tcW w:w="2738" w:type="dxa"/>
            <w:gridSpan w:val="2"/>
          </w:tcPr>
          <w:p w14:paraId="28C5895A" w14:textId="77777777" w:rsidR="00B333F8" w:rsidRPr="006A68D6" w:rsidRDefault="00B333F8" w:rsidP="00497712">
            <w:pPr>
              <w:keepNext/>
              <w:autoSpaceDE w:val="0"/>
              <w:autoSpaceDN w:val="0"/>
              <w:spacing w:before="360"/>
              <w:outlineLvl w:val="0"/>
              <w:rPr>
                <w:bCs/>
                <w:noProof/>
              </w:rPr>
            </w:pPr>
            <w:r w:rsidRPr="006A68D6">
              <w:rPr>
                <w:bCs/>
                <w:noProof/>
              </w:rPr>
              <w:t>31 December 202</w:t>
            </w:r>
            <w:r w:rsidR="00EA3874">
              <w:rPr>
                <w:bCs/>
                <w:noProof/>
              </w:rPr>
              <w:t>8</w:t>
            </w:r>
          </w:p>
        </w:tc>
      </w:tr>
      <w:tr w:rsidR="00B333F8" w:rsidRPr="006A68D6" w14:paraId="38740511" w14:textId="77777777" w:rsidTr="00874378">
        <w:tc>
          <w:tcPr>
            <w:tcW w:w="3811" w:type="dxa"/>
          </w:tcPr>
          <w:p w14:paraId="6BA034DB" w14:textId="13F74FC5" w:rsidR="00B333F8" w:rsidRPr="006A68D6" w:rsidRDefault="00B333F8" w:rsidP="00344476">
            <w:pPr>
              <w:keepNext/>
              <w:autoSpaceDE w:val="0"/>
              <w:autoSpaceDN w:val="0"/>
              <w:jc w:val="left"/>
              <w:outlineLvl w:val="0"/>
              <w:rPr>
                <w:bCs/>
                <w:noProof/>
              </w:rPr>
            </w:pPr>
            <w:r w:rsidRPr="006A68D6">
              <w:rPr>
                <w:b/>
                <w:bCs/>
                <w:noProof/>
              </w:rPr>
              <w:t>Types of data on safe and secure parking places for trucks and commercial vehicles (</w:t>
            </w:r>
            <w:r w:rsidR="00297E30">
              <w:rPr>
                <w:b/>
                <w:bCs/>
                <w:noProof/>
              </w:rPr>
              <w:t>a</w:t>
            </w:r>
            <w:r w:rsidRPr="00D15BDB">
              <w:rPr>
                <w:b/>
                <w:bCs/>
                <w:noProof/>
              </w:rPr>
              <w:t xml:space="preserve">s </w:t>
            </w:r>
            <w:r w:rsidR="000A2DEE">
              <w:rPr>
                <w:b/>
                <w:bCs/>
                <w:noProof/>
              </w:rPr>
              <w:t>referred to</w:t>
            </w:r>
            <w:r w:rsidR="000A2DEE" w:rsidRPr="006A68D6">
              <w:rPr>
                <w:b/>
                <w:bCs/>
                <w:noProof/>
              </w:rPr>
              <w:t xml:space="preserve"> </w:t>
            </w:r>
            <w:r w:rsidRPr="00D15BDB">
              <w:rPr>
                <w:b/>
                <w:bCs/>
                <w:noProof/>
              </w:rPr>
              <w:t xml:space="preserve">in Commission Delegated Regulation (EU) </w:t>
            </w:r>
            <w:r w:rsidR="00297E30">
              <w:rPr>
                <w:b/>
                <w:bCs/>
                <w:noProof/>
              </w:rPr>
              <w:t xml:space="preserve">No </w:t>
            </w:r>
            <w:r w:rsidRPr="00D15BDB">
              <w:rPr>
                <w:b/>
                <w:bCs/>
                <w:noProof/>
              </w:rPr>
              <w:t>885/2013</w:t>
            </w:r>
            <w:r w:rsidR="00672157">
              <w:rPr>
                <w:rStyle w:val="FootnoteReference"/>
                <w:b/>
                <w:bCs/>
                <w:noProof/>
              </w:rPr>
              <w:footnoteReference w:id="7"/>
            </w:r>
            <w:r w:rsidRPr="00D15BDB">
              <w:rPr>
                <w:b/>
                <w:bCs/>
                <w:noProof/>
              </w:rPr>
              <w:t>)</w:t>
            </w:r>
            <w:r w:rsidR="00BF463F">
              <w:rPr>
                <w:b/>
                <w:bCs/>
                <w:noProof/>
              </w:rPr>
              <w:t>:</w:t>
            </w:r>
          </w:p>
        </w:tc>
        <w:tc>
          <w:tcPr>
            <w:tcW w:w="2737" w:type="dxa"/>
          </w:tcPr>
          <w:p w14:paraId="7C189AEF" w14:textId="77777777" w:rsidR="00B333F8" w:rsidRPr="006A68D6" w:rsidRDefault="00B333F8" w:rsidP="00304BFB">
            <w:pPr>
              <w:keepNext/>
              <w:autoSpaceDE w:val="0"/>
              <w:autoSpaceDN w:val="0"/>
              <w:outlineLvl w:val="0"/>
              <w:rPr>
                <w:bCs/>
                <w:noProof/>
              </w:rPr>
            </w:pPr>
          </w:p>
        </w:tc>
        <w:tc>
          <w:tcPr>
            <w:tcW w:w="2738" w:type="dxa"/>
            <w:gridSpan w:val="2"/>
          </w:tcPr>
          <w:p w14:paraId="56FCB9E2" w14:textId="77777777" w:rsidR="00B333F8" w:rsidRPr="006A68D6" w:rsidRDefault="00B333F8" w:rsidP="00304BFB">
            <w:pPr>
              <w:keepNext/>
              <w:autoSpaceDE w:val="0"/>
              <w:autoSpaceDN w:val="0"/>
              <w:outlineLvl w:val="0"/>
              <w:rPr>
                <w:bCs/>
                <w:noProof/>
              </w:rPr>
            </w:pPr>
          </w:p>
        </w:tc>
      </w:tr>
      <w:tr w:rsidR="00B333F8" w:rsidRPr="006A68D6" w14:paraId="3184814C" w14:textId="77777777" w:rsidTr="00874378">
        <w:tc>
          <w:tcPr>
            <w:tcW w:w="3811" w:type="dxa"/>
          </w:tcPr>
          <w:p w14:paraId="55F34194"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s</w:t>
            </w:r>
            <w:r w:rsidR="00B333F8" w:rsidRPr="00494846">
              <w:rPr>
                <w:rFonts w:ascii="Times New Roman" w:hAnsi="Times New Roman" w:cs="Times New Roman"/>
                <w:bCs/>
                <w:noProof/>
                <w:sz w:val="24"/>
                <w:szCs w:val="24"/>
              </w:rPr>
              <w:t>tatic data related to the parking areas</w:t>
            </w:r>
          </w:p>
          <w:p w14:paraId="7027B3E3" w14:textId="77777777" w:rsidR="00B333F8" w:rsidRPr="00494846" w:rsidRDefault="00494846" w:rsidP="007F0F9C">
            <w:pPr>
              <w:pStyle w:val="ListParagraph"/>
              <w:keepNext/>
              <w:numPr>
                <w:ilvl w:val="0"/>
                <w:numId w:val="1"/>
              </w:numPr>
              <w:autoSpaceDE w:val="0"/>
              <w:autoSpaceDN w:val="0"/>
              <w:spacing w:before="360" w:after="120" w:line="240" w:lineRule="auto"/>
              <w:outlineLvl w:val="0"/>
              <w:rPr>
                <w:rFonts w:ascii="Times New Roman" w:hAnsi="Times New Roman" w:cs="Times New Roman"/>
                <w:bCs/>
                <w:noProof/>
                <w:sz w:val="24"/>
                <w:szCs w:val="24"/>
              </w:rPr>
            </w:pPr>
            <w:r>
              <w:rPr>
                <w:rFonts w:ascii="Times New Roman" w:hAnsi="Times New Roman" w:cs="Times New Roman"/>
                <w:bCs/>
                <w:noProof/>
                <w:sz w:val="24"/>
                <w:szCs w:val="24"/>
              </w:rPr>
              <w:t>i</w:t>
            </w:r>
            <w:r w:rsidR="00B333F8" w:rsidRPr="00494846">
              <w:rPr>
                <w:rFonts w:ascii="Times New Roman" w:hAnsi="Times New Roman" w:cs="Times New Roman"/>
                <w:bCs/>
                <w:noProof/>
                <w:sz w:val="24"/>
                <w:szCs w:val="24"/>
              </w:rPr>
              <w:t>nformation on safety and equipment of the parking area</w:t>
            </w:r>
          </w:p>
          <w:p w14:paraId="3E2D0599" w14:textId="77777777" w:rsidR="00B333F8" w:rsidRPr="006A68D6" w:rsidRDefault="00494846" w:rsidP="007F0F9C">
            <w:pPr>
              <w:pStyle w:val="ListParagraph"/>
              <w:keepNext/>
              <w:numPr>
                <w:ilvl w:val="0"/>
                <w:numId w:val="1"/>
              </w:numPr>
              <w:autoSpaceDE w:val="0"/>
              <w:autoSpaceDN w:val="0"/>
              <w:spacing w:before="360" w:after="120" w:line="240" w:lineRule="auto"/>
              <w:outlineLvl w:val="0"/>
              <w:rPr>
                <w:bCs/>
                <w:noProof/>
              </w:rPr>
            </w:pPr>
            <w:r>
              <w:rPr>
                <w:rFonts w:ascii="Times New Roman" w:hAnsi="Times New Roman" w:cs="Times New Roman"/>
                <w:bCs/>
                <w:noProof/>
                <w:sz w:val="24"/>
                <w:szCs w:val="24"/>
              </w:rPr>
              <w:t>d</w:t>
            </w:r>
            <w:r w:rsidR="00B333F8" w:rsidRPr="00494846">
              <w:rPr>
                <w:rFonts w:ascii="Times New Roman" w:hAnsi="Times New Roman" w:cs="Times New Roman"/>
                <w:bCs/>
                <w:noProof/>
                <w:sz w:val="24"/>
                <w:szCs w:val="24"/>
              </w:rPr>
              <w:t>ynamic data on availability of parking places including whether a parking is: full, closed or number of free places available.</w:t>
            </w:r>
          </w:p>
        </w:tc>
        <w:tc>
          <w:tcPr>
            <w:tcW w:w="2765" w:type="dxa"/>
            <w:gridSpan w:val="2"/>
          </w:tcPr>
          <w:p w14:paraId="603C9B6B" w14:textId="57D479BE" w:rsidR="00B333F8" w:rsidRPr="006A68D6" w:rsidRDefault="00B333F8" w:rsidP="006C5AE4">
            <w:pPr>
              <w:keepNext/>
              <w:autoSpaceDE w:val="0"/>
              <w:autoSpaceDN w:val="0"/>
              <w:outlineLvl w:val="0"/>
              <w:rPr>
                <w:bCs/>
                <w:noProof/>
              </w:rPr>
            </w:pPr>
            <w:r w:rsidRPr="006A68D6">
              <w:rPr>
                <w:bCs/>
                <w:noProof/>
              </w:rPr>
              <w:t xml:space="preserve">The </w:t>
            </w:r>
            <w:r w:rsidR="000B312D">
              <w:rPr>
                <w:bCs/>
                <w:noProof/>
              </w:rPr>
              <w:t xml:space="preserve">trans-European </w:t>
            </w:r>
            <w:r w:rsidRPr="006A68D6">
              <w:rPr>
                <w:bCs/>
                <w:noProof/>
              </w:rPr>
              <w:t>network</w:t>
            </w:r>
            <w:r w:rsidR="006C5AE4">
              <w:rPr>
                <w:bCs/>
                <w:noProof/>
              </w:rPr>
              <w:t xml:space="preserve"> for roads</w:t>
            </w:r>
            <w:r w:rsidRPr="006A68D6">
              <w:rPr>
                <w:bCs/>
                <w:noProof/>
              </w:rPr>
              <w:t xml:space="preserve"> and other motorways not included in th</w:t>
            </w:r>
            <w:r w:rsidR="000B312D">
              <w:rPr>
                <w:bCs/>
                <w:noProof/>
              </w:rPr>
              <w:t>at</w:t>
            </w:r>
            <w:r w:rsidRPr="006A68D6">
              <w:rPr>
                <w:bCs/>
                <w:noProof/>
              </w:rPr>
              <w:t xml:space="preserve"> network</w:t>
            </w:r>
          </w:p>
        </w:tc>
        <w:tc>
          <w:tcPr>
            <w:tcW w:w="2710" w:type="dxa"/>
          </w:tcPr>
          <w:p w14:paraId="102333BD" w14:textId="77777777" w:rsidR="00B333F8" w:rsidRPr="006A68D6" w:rsidRDefault="00B333F8" w:rsidP="00566651">
            <w:pPr>
              <w:keepNext/>
              <w:autoSpaceDE w:val="0"/>
              <w:autoSpaceDN w:val="0"/>
              <w:outlineLvl w:val="0"/>
              <w:rPr>
                <w:bCs/>
                <w:noProof/>
              </w:rPr>
            </w:pPr>
            <w:r w:rsidRPr="006A68D6">
              <w:rPr>
                <w:bCs/>
                <w:noProof/>
              </w:rPr>
              <w:t>31 December 202</w:t>
            </w:r>
            <w:r w:rsidR="00C6513E">
              <w:rPr>
                <w:bCs/>
                <w:noProof/>
              </w:rPr>
              <w:t>5</w:t>
            </w:r>
          </w:p>
        </w:tc>
      </w:tr>
      <w:tr w:rsidR="00B333F8" w:rsidRPr="006A68D6" w14:paraId="48EFB11F" w14:textId="77777777" w:rsidTr="00874378">
        <w:tc>
          <w:tcPr>
            <w:tcW w:w="3811" w:type="dxa"/>
          </w:tcPr>
          <w:p w14:paraId="43611DD2" w14:textId="272FB281" w:rsidR="00B333F8" w:rsidRPr="00D15BDB" w:rsidRDefault="00B333F8" w:rsidP="00494846">
            <w:pPr>
              <w:keepNext/>
              <w:autoSpaceDE w:val="0"/>
              <w:autoSpaceDN w:val="0"/>
              <w:jc w:val="left"/>
              <w:outlineLvl w:val="0"/>
              <w:rPr>
                <w:b/>
                <w:bCs/>
                <w:noProof/>
              </w:rPr>
            </w:pPr>
            <w:r w:rsidRPr="00D15BDB">
              <w:rPr>
                <w:b/>
                <w:bCs/>
                <w:noProof/>
              </w:rPr>
              <w:t xml:space="preserve">Data on detected </w:t>
            </w:r>
            <w:r w:rsidR="005E001D">
              <w:rPr>
                <w:b/>
                <w:bCs/>
                <w:noProof/>
              </w:rPr>
              <w:t>road safety-related</w:t>
            </w:r>
            <w:r w:rsidRPr="008B60DD">
              <w:rPr>
                <w:b/>
                <w:bCs/>
                <w:noProof/>
              </w:rPr>
              <w:t xml:space="preserve"> events or</w:t>
            </w:r>
            <w:r w:rsidRPr="00D15BDB">
              <w:rPr>
                <w:b/>
                <w:bCs/>
                <w:noProof/>
              </w:rPr>
              <w:t xml:space="preserve"> conditions (</w:t>
            </w:r>
            <w:r w:rsidR="00297E30">
              <w:rPr>
                <w:b/>
                <w:bCs/>
                <w:noProof/>
              </w:rPr>
              <w:t>a</w:t>
            </w:r>
            <w:r w:rsidRPr="00D15BDB">
              <w:rPr>
                <w:b/>
                <w:bCs/>
                <w:noProof/>
              </w:rPr>
              <w:t xml:space="preserve">s </w:t>
            </w:r>
            <w:r w:rsidR="000A2DEE">
              <w:rPr>
                <w:b/>
                <w:bCs/>
                <w:noProof/>
              </w:rPr>
              <w:t>referred to</w:t>
            </w:r>
            <w:r w:rsidR="000A2DEE" w:rsidRPr="006A68D6">
              <w:rPr>
                <w:b/>
                <w:bCs/>
                <w:noProof/>
              </w:rPr>
              <w:t xml:space="preserve"> </w:t>
            </w:r>
            <w:r w:rsidRPr="00D15BDB">
              <w:rPr>
                <w:b/>
                <w:bCs/>
                <w:noProof/>
              </w:rPr>
              <w:t>in Commissi</w:t>
            </w:r>
            <w:r w:rsidRPr="00F26750">
              <w:rPr>
                <w:b/>
                <w:bCs/>
                <w:noProof/>
              </w:rPr>
              <w:t xml:space="preserve">on Delegated Regulation (EU) </w:t>
            </w:r>
            <w:r w:rsidR="00297E30">
              <w:rPr>
                <w:b/>
                <w:bCs/>
                <w:noProof/>
              </w:rPr>
              <w:t xml:space="preserve">No </w:t>
            </w:r>
            <w:r w:rsidRPr="00F26750">
              <w:rPr>
                <w:b/>
                <w:bCs/>
                <w:noProof/>
              </w:rPr>
              <w:t>88</w:t>
            </w:r>
            <w:r>
              <w:rPr>
                <w:b/>
                <w:bCs/>
                <w:noProof/>
              </w:rPr>
              <w:t>6</w:t>
            </w:r>
            <w:r w:rsidRPr="00D15BDB">
              <w:rPr>
                <w:b/>
                <w:bCs/>
                <w:noProof/>
              </w:rPr>
              <w:t>/2013</w:t>
            </w:r>
            <w:r w:rsidR="00FE7E1F">
              <w:rPr>
                <w:rStyle w:val="FootnoteReference"/>
                <w:b/>
                <w:bCs/>
                <w:noProof/>
              </w:rPr>
              <w:footnoteReference w:id="8"/>
            </w:r>
            <w:r w:rsidR="00BF463F">
              <w:rPr>
                <w:b/>
                <w:bCs/>
                <w:noProof/>
              </w:rPr>
              <w:t>):</w:t>
            </w:r>
          </w:p>
        </w:tc>
        <w:tc>
          <w:tcPr>
            <w:tcW w:w="2765" w:type="dxa"/>
            <w:gridSpan w:val="2"/>
          </w:tcPr>
          <w:p w14:paraId="7FC1D9A0" w14:textId="77777777" w:rsidR="00B333F8" w:rsidRPr="006A68D6" w:rsidRDefault="00B333F8" w:rsidP="00304BFB">
            <w:pPr>
              <w:keepNext/>
              <w:autoSpaceDE w:val="0"/>
              <w:autoSpaceDN w:val="0"/>
              <w:outlineLvl w:val="0"/>
              <w:rPr>
                <w:bCs/>
                <w:noProof/>
              </w:rPr>
            </w:pPr>
          </w:p>
        </w:tc>
        <w:tc>
          <w:tcPr>
            <w:tcW w:w="2710" w:type="dxa"/>
          </w:tcPr>
          <w:p w14:paraId="4AC6D53F" w14:textId="77777777" w:rsidR="00B333F8" w:rsidRPr="006A68D6" w:rsidRDefault="00B333F8" w:rsidP="00304BFB">
            <w:pPr>
              <w:keepNext/>
              <w:autoSpaceDE w:val="0"/>
              <w:autoSpaceDN w:val="0"/>
              <w:outlineLvl w:val="0"/>
              <w:rPr>
                <w:bCs/>
                <w:noProof/>
              </w:rPr>
            </w:pPr>
          </w:p>
        </w:tc>
      </w:tr>
      <w:tr w:rsidR="00B333F8" w14:paraId="7AC6B213" w14:textId="77777777" w:rsidTr="00874378">
        <w:tc>
          <w:tcPr>
            <w:tcW w:w="3811" w:type="dxa"/>
          </w:tcPr>
          <w:p w14:paraId="2E6AC6EF"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t</w:t>
            </w:r>
            <w:r w:rsidR="00B333F8" w:rsidRPr="00494846">
              <w:rPr>
                <w:rFonts w:ascii="Times New Roman" w:hAnsi="Times New Roman" w:cs="Times New Roman"/>
                <w:bCs/>
                <w:noProof/>
                <w:sz w:val="24"/>
                <w:szCs w:val="24"/>
              </w:rPr>
              <w:t>emporary slippery road</w:t>
            </w:r>
          </w:p>
          <w:p w14:paraId="515E7C0A"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a</w:t>
            </w:r>
            <w:r w:rsidR="00B333F8" w:rsidRPr="00494846">
              <w:rPr>
                <w:rFonts w:ascii="Times New Roman" w:hAnsi="Times New Roman" w:cs="Times New Roman"/>
                <w:bCs/>
                <w:noProof/>
                <w:sz w:val="24"/>
                <w:szCs w:val="24"/>
              </w:rPr>
              <w:t>nimal, people, obstacles,</w:t>
            </w:r>
            <w:r w:rsidR="005E001D" w:rsidRPr="00494846">
              <w:rPr>
                <w:rFonts w:ascii="Times New Roman" w:hAnsi="Times New Roman" w:cs="Times New Roman"/>
                <w:bCs/>
                <w:noProof/>
                <w:sz w:val="24"/>
                <w:szCs w:val="24"/>
              </w:rPr>
              <w:t xml:space="preserve"> debris on the</w:t>
            </w:r>
            <w:r w:rsidR="00B333F8" w:rsidRPr="00494846">
              <w:rPr>
                <w:rFonts w:ascii="Times New Roman" w:hAnsi="Times New Roman" w:cs="Times New Roman"/>
                <w:bCs/>
                <w:noProof/>
                <w:sz w:val="24"/>
                <w:szCs w:val="24"/>
              </w:rPr>
              <w:t xml:space="preserve"> road</w:t>
            </w:r>
          </w:p>
          <w:p w14:paraId="30C974D5"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un</w:t>
            </w:r>
            <w:r w:rsidR="00B333F8" w:rsidRPr="00494846">
              <w:rPr>
                <w:rFonts w:ascii="Times New Roman" w:hAnsi="Times New Roman" w:cs="Times New Roman"/>
                <w:bCs/>
                <w:noProof/>
                <w:sz w:val="24"/>
                <w:szCs w:val="24"/>
              </w:rPr>
              <w:t>protected accident area</w:t>
            </w:r>
          </w:p>
          <w:p w14:paraId="3B93EA1E"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s</w:t>
            </w:r>
            <w:r w:rsidR="00B333F8" w:rsidRPr="00494846">
              <w:rPr>
                <w:rFonts w:ascii="Times New Roman" w:hAnsi="Times New Roman" w:cs="Times New Roman"/>
                <w:bCs/>
                <w:noProof/>
                <w:sz w:val="24"/>
                <w:szCs w:val="24"/>
              </w:rPr>
              <w:t>hort-term road works</w:t>
            </w:r>
          </w:p>
          <w:p w14:paraId="34895977"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r</w:t>
            </w:r>
            <w:r w:rsidR="00B333F8" w:rsidRPr="00494846">
              <w:rPr>
                <w:rFonts w:ascii="Times New Roman" w:hAnsi="Times New Roman" w:cs="Times New Roman"/>
                <w:bCs/>
                <w:noProof/>
                <w:sz w:val="24"/>
                <w:szCs w:val="24"/>
              </w:rPr>
              <w:t>educed visibility</w:t>
            </w:r>
          </w:p>
          <w:p w14:paraId="1439F889"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w</w:t>
            </w:r>
            <w:r w:rsidR="00B333F8" w:rsidRPr="00494846">
              <w:rPr>
                <w:rFonts w:ascii="Times New Roman" w:hAnsi="Times New Roman" w:cs="Times New Roman"/>
                <w:bCs/>
                <w:noProof/>
                <w:sz w:val="24"/>
                <w:szCs w:val="24"/>
              </w:rPr>
              <w:t>rong-way driver</w:t>
            </w:r>
          </w:p>
          <w:p w14:paraId="0F004C21" w14:textId="77777777" w:rsidR="00B333F8" w:rsidRPr="00494846" w:rsidRDefault="00494846" w:rsidP="007F0F9C">
            <w:pPr>
              <w:pStyle w:val="ListParagraph"/>
              <w:keepNext/>
              <w:numPr>
                <w:ilvl w:val="0"/>
                <w:numId w:val="1"/>
              </w:numPr>
              <w:autoSpaceDE w:val="0"/>
              <w:autoSpaceDN w:val="0"/>
              <w:spacing w:after="120" w:line="240" w:lineRule="auto"/>
              <w:ind w:left="714" w:hanging="357"/>
              <w:outlineLvl w:val="0"/>
              <w:rPr>
                <w:rFonts w:ascii="Times New Roman" w:hAnsi="Times New Roman" w:cs="Times New Roman"/>
                <w:bCs/>
                <w:noProof/>
                <w:sz w:val="24"/>
                <w:szCs w:val="24"/>
              </w:rPr>
            </w:pPr>
            <w:r>
              <w:rPr>
                <w:rFonts w:ascii="Times New Roman" w:hAnsi="Times New Roman" w:cs="Times New Roman"/>
                <w:bCs/>
                <w:noProof/>
                <w:sz w:val="24"/>
                <w:szCs w:val="24"/>
              </w:rPr>
              <w:t>u</w:t>
            </w:r>
            <w:r w:rsidR="00B333F8" w:rsidRPr="00494846">
              <w:rPr>
                <w:rFonts w:ascii="Times New Roman" w:hAnsi="Times New Roman" w:cs="Times New Roman"/>
                <w:bCs/>
                <w:noProof/>
                <w:sz w:val="24"/>
                <w:szCs w:val="24"/>
              </w:rPr>
              <w:t>nmanaged blockage of a road</w:t>
            </w:r>
          </w:p>
          <w:p w14:paraId="197555D9" w14:textId="77777777" w:rsidR="00B333F8" w:rsidRPr="00D15BDB" w:rsidRDefault="00494846" w:rsidP="007F0F9C">
            <w:pPr>
              <w:pStyle w:val="ListParagraph"/>
              <w:keepNext/>
              <w:numPr>
                <w:ilvl w:val="0"/>
                <w:numId w:val="1"/>
              </w:numPr>
              <w:autoSpaceDE w:val="0"/>
              <w:autoSpaceDN w:val="0"/>
              <w:spacing w:after="120" w:line="240" w:lineRule="auto"/>
              <w:ind w:left="714" w:hanging="357"/>
              <w:outlineLvl w:val="0"/>
              <w:rPr>
                <w:bCs/>
                <w:noProof/>
              </w:rPr>
            </w:pPr>
            <w:r>
              <w:rPr>
                <w:rFonts w:ascii="Times New Roman" w:hAnsi="Times New Roman" w:cs="Times New Roman"/>
                <w:bCs/>
                <w:noProof/>
                <w:sz w:val="24"/>
                <w:szCs w:val="24"/>
              </w:rPr>
              <w:t>e</w:t>
            </w:r>
            <w:r w:rsidR="00B333F8" w:rsidRPr="00494846">
              <w:rPr>
                <w:rFonts w:ascii="Times New Roman" w:hAnsi="Times New Roman" w:cs="Times New Roman"/>
                <w:bCs/>
                <w:noProof/>
                <w:sz w:val="24"/>
                <w:szCs w:val="24"/>
              </w:rPr>
              <w:t>xceptional weather conditions</w:t>
            </w:r>
          </w:p>
        </w:tc>
        <w:tc>
          <w:tcPr>
            <w:tcW w:w="2765" w:type="dxa"/>
            <w:gridSpan w:val="2"/>
          </w:tcPr>
          <w:p w14:paraId="456B20BA" w14:textId="393F2706" w:rsidR="00B333F8" w:rsidRPr="006A68D6" w:rsidRDefault="00B333F8" w:rsidP="006C5AE4">
            <w:pPr>
              <w:keepNext/>
              <w:autoSpaceDE w:val="0"/>
              <w:autoSpaceDN w:val="0"/>
              <w:outlineLvl w:val="0"/>
              <w:rPr>
                <w:bCs/>
                <w:noProof/>
              </w:rPr>
            </w:pPr>
            <w:r w:rsidRPr="006A68D6">
              <w:rPr>
                <w:bCs/>
                <w:noProof/>
              </w:rPr>
              <w:t xml:space="preserve">The </w:t>
            </w:r>
            <w:r w:rsidR="000B312D">
              <w:rPr>
                <w:bCs/>
                <w:noProof/>
              </w:rPr>
              <w:t xml:space="preserve">trans-European </w:t>
            </w:r>
            <w:r w:rsidRPr="006A68D6">
              <w:rPr>
                <w:bCs/>
                <w:noProof/>
              </w:rPr>
              <w:t xml:space="preserve">network </w:t>
            </w:r>
            <w:r w:rsidR="006C5AE4">
              <w:rPr>
                <w:bCs/>
                <w:noProof/>
              </w:rPr>
              <w:t xml:space="preserve">for roads </w:t>
            </w:r>
            <w:r w:rsidRPr="006A68D6">
              <w:rPr>
                <w:bCs/>
                <w:noProof/>
              </w:rPr>
              <w:t>and other motorways not included in th</w:t>
            </w:r>
            <w:r w:rsidR="000B312D">
              <w:rPr>
                <w:bCs/>
                <w:noProof/>
              </w:rPr>
              <w:t>at</w:t>
            </w:r>
            <w:r w:rsidRPr="006A68D6">
              <w:rPr>
                <w:bCs/>
                <w:noProof/>
              </w:rPr>
              <w:t xml:space="preserve"> network</w:t>
            </w:r>
          </w:p>
        </w:tc>
        <w:tc>
          <w:tcPr>
            <w:tcW w:w="2710" w:type="dxa"/>
          </w:tcPr>
          <w:p w14:paraId="39D35092" w14:textId="77777777" w:rsidR="00B333F8" w:rsidRDefault="00B333F8" w:rsidP="00304BFB">
            <w:pPr>
              <w:keepNext/>
              <w:autoSpaceDE w:val="0"/>
              <w:autoSpaceDN w:val="0"/>
              <w:outlineLvl w:val="0"/>
              <w:rPr>
                <w:bCs/>
                <w:noProof/>
              </w:rPr>
            </w:pPr>
            <w:r w:rsidRPr="00F26750">
              <w:rPr>
                <w:bCs/>
                <w:noProof/>
              </w:rPr>
              <w:t>31 December 2026</w:t>
            </w:r>
          </w:p>
        </w:tc>
      </w:tr>
      <w:tr w:rsidR="00B333F8" w:rsidRPr="006A68D6" w14:paraId="19306A25" w14:textId="77777777" w:rsidTr="00874378">
        <w:tc>
          <w:tcPr>
            <w:tcW w:w="3811" w:type="dxa"/>
          </w:tcPr>
          <w:p w14:paraId="33AA7638" w14:textId="45416337" w:rsidR="00B333F8" w:rsidRPr="006A68D6" w:rsidRDefault="00B333F8" w:rsidP="00494846">
            <w:pPr>
              <w:keepNext/>
              <w:autoSpaceDE w:val="0"/>
              <w:autoSpaceDN w:val="0"/>
              <w:jc w:val="left"/>
              <w:outlineLvl w:val="0"/>
              <w:rPr>
                <w:bCs/>
                <w:noProof/>
              </w:rPr>
            </w:pPr>
            <w:r w:rsidRPr="006A68D6">
              <w:rPr>
                <w:b/>
                <w:bCs/>
                <w:noProof/>
              </w:rPr>
              <w:t xml:space="preserve">Types of multimodal static travel data (as </w:t>
            </w:r>
            <w:r w:rsidR="000A2DEE">
              <w:rPr>
                <w:b/>
                <w:bCs/>
                <w:noProof/>
              </w:rPr>
              <w:t>referred to</w:t>
            </w:r>
            <w:r w:rsidR="000A2DEE" w:rsidRPr="006A68D6">
              <w:rPr>
                <w:b/>
                <w:bCs/>
                <w:noProof/>
              </w:rPr>
              <w:t xml:space="preserve"> </w:t>
            </w:r>
            <w:r w:rsidRPr="006A68D6">
              <w:rPr>
                <w:b/>
                <w:bCs/>
                <w:noProof/>
              </w:rPr>
              <w:t>in Commission Delegated Regulation (EU) 2017/1926</w:t>
            </w:r>
            <w:r w:rsidR="00FE7E1F">
              <w:rPr>
                <w:rStyle w:val="FootnoteReference"/>
                <w:b/>
                <w:bCs/>
                <w:noProof/>
              </w:rPr>
              <w:footnoteReference w:id="9"/>
            </w:r>
            <w:r w:rsidRPr="006A68D6">
              <w:rPr>
                <w:b/>
                <w:bCs/>
                <w:noProof/>
              </w:rPr>
              <w:t>):</w:t>
            </w:r>
          </w:p>
        </w:tc>
        <w:tc>
          <w:tcPr>
            <w:tcW w:w="2765" w:type="dxa"/>
            <w:gridSpan w:val="2"/>
          </w:tcPr>
          <w:p w14:paraId="2D860ACD" w14:textId="77777777" w:rsidR="00B333F8" w:rsidRPr="006A68D6" w:rsidRDefault="00B333F8" w:rsidP="00304BFB">
            <w:pPr>
              <w:keepNext/>
              <w:autoSpaceDE w:val="0"/>
              <w:autoSpaceDN w:val="0"/>
              <w:outlineLvl w:val="0"/>
              <w:rPr>
                <w:bCs/>
                <w:noProof/>
              </w:rPr>
            </w:pPr>
          </w:p>
        </w:tc>
        <w:tc>
          <w:tcPr>
            <w:tcW w:w="2710" w:type="dxa"/>
          </w:tcPr>
          <w:p w14:paraId="0A5926C1" w14:textId="77777777" w:rsidR="00B333F8" w:rsidRPr="006A68D6" w:rsidRDefault="00B333F8" w:rsidP="00304BFB">
            <w:pPr>
              <w:keepNext/>
              <w:autoSpaceDE w:val="0"/>
              <w:autoSpaceDN w:val="0"/>
              <w:outlineLvl w:val="0"/>
              <w:rPr>
                <w:bCs/>
                <w:noProof/>
              </w:rPr>
            </w:pPr>
          </w:p>
        </w:tc>
      </w:tr>
      <w:tr w:rsidR="00B333F8" w:rsidRPr="006A68D6" w14:paraId="2271B4E0" w14:textId="77777777" w:rsidTr="00874378">
        <w:tc>
          <w:tcPr>
            <w:tcW w:w="3811" w:type="dxa"/>
          </w:tcPr>
          <w:p w14:paraId="7164D179" w14:textId="77777777" w:rsidR="00B333F8" w:rsidRPr="006A68D6" w:rsidRDefault="00B333F8" w:rsidP="00304BFB">
            <w:pPr>
              <w:keepNext/>
              <w:autoSpaceDE w:val="0"/>
              <w:autoSpaceDN w:val="0"/>
              <w:outlineLvl w:val="0"/>
              <w:rPr>
                <w:bCs/>
                <w:noProof/>
              </w:rPr>
            </w:pPr>
            <w:r w:rsidRPr="006A68D6">
              <w:rPr>
                <w:bCs/>
                <w:noProof/>
              </w:rPr>
              <w:t>Location of identified access nodes for all scheduled modes</w:t>
            </w:r>
            <w:r w:rsidRPr="00B333F8">
              <w:rPr>
                <w:bCs/>
                <w:noProof/>
              </w:rPr>
              <w:t xml:space="preserve">, including information on </w:t>
            </w:r>
            <w:r w:rsidRPr="006A68D6">
              <w:rPr>
                <w:bCs/>
                <w:noProof/>
              </w:rPr>
              <w:t>accessibility of access nodes and paths within an interchange (such as e</w:t>
            </w:r>
            <w:r w:rsidR="00494846">
              <w:rPr>
                <w:bCs/>
                <w:noProof/>
              </w:rPr>
              <w:t>xistence of lifts, escalators)</w:t>
            </w:r>
          </w:p>
        </w:tc>
        <w:tc>
          <w:tcPr>
            <w:tcW w:w="2765" w:type="dxa"/>
            <w:gridSpan w:val="2"/>
          </w:tcPr>
          <w:p w14:paraId="43C50C76" w14:textId="78882153" w:rsidR="00B333F8" w:rsidRPr="006A68D6" w:rsidRDefault="00B333F8" w:rsidP="0009561A">
            <w:pPr>
              <w:keepNext/>
              <w:autoSpaceDE w:val="0"/>
              <w:autoSpaceDN w:val="0"/>
              <w:outlineLvl w:val="0"/>
              <w:rPr>
                <w:bCs/>
                <w:noProof/>
              </w:rPr>
            </w:pPr>
            <w:r w:rsidRPr="006A68D6">
              <w:rPr>
                <w:bCs/>
                <w:noProof/>
              </w:rPr>
              <w:t xml:space="preserve">The entire transport network of the </w:t>
            </w:r>
            <w:r w:rsidR="0009561A">
              <w:rPr>
                <w:bCs/>
                <w:noProof/>
              </w:rPr>
              <w:t>EU</w:t>
            </w:r>
          </w:p>
        </w:tc>
        <w:tc>
          <w:tcPr>
            <w:tcW w:w="2710" w:type="dxa"/>
          </w:tcPr>
          <w:p w14:paraId="797BEE4B" w14:textId="77777777" w:rsidR="00B333F8" w:rsidRPr="006A68D6" w:rsidRDefault="00B333F8" w:rsidP="00304BFB">
            <w:pPr>
              <w:keepNext/>
              <w:autoSpaceDE w:val="0"/>
              <w:autoSpaceDN w:val="0"/>
              <w:outlineLvl w:val="0"/>
              <w:rPr>
                <w:bCs/>
                <w:noProof/>
              </w:rPr>
            </w:pPr>
            <w:r w:rsidRPr="006A68D6">
              <w:rPr>
                <w:bCs/>
                <w:noProof/>
              </w:rPr>
              <w:t>31 December 202</w:t>
            </w:r>
            <w:r w:rsidR="00DC23D2">
              <w:rPr>
                <w:bCs/>
                <w:noProof/>
              </w:rPr>
              <w:t>6</w:t>
            </w:r>
          </w:p>
        </w:tc>
      </w:tr>
    </w:tbl>
    <w:p w14:paraId="23A2F4D5" w14:textId="7E729490" w:rsidR="00B333F8" w:rsidRPr="00B333F8" w:rsidRDefault="006D6BB5" w:rsidP="00B333F8">
      <w:pPr>
        <w:rPr>
          <w:noProof/>
        </w:rPr>
        <w:sectPr w:rsidR="00B333F8" w:rsidRPr="00B333F8" w:rsidSect="004209E8">
          <w:pgSz w:w="11907" w:h="16839"/>
          <w:pgMar w:top="1134" w:right="1417" w:bottom="1134" w:left="1417" w:header="709" w:footer="709" w:gutter="0"/>
          <w:cols w:space="720"/>
          <w:docGrid w:linePitch="360"/>
        </w:sectPr>
      </w:pPr>
      <w:r>
        <w:rPr>
          <w:b/>
          <w:noProof/>
        </w:rPr>
        <w:t>’</w:t>
      </w:r>
      <w:r>
        <w:rPr>
          <w:noProof/>
        </w:rPr>
        <w:t>.</w:t>
      </w:r>
    </w:p>
    <w:p w14:paraId="3D975CA1" w14:textId="3B68A859" w:rsidR="00B37414" w:rsidRDefault="00B37414" w:rsidP="00874378">
      <w:pPr>
        <w:pStyle w:val="Annexetitre"/>
        <w:keepNext/>
        <w:rPr>
          <w:noProof/>
        </w:rPr>
      </w:pPr>
      <w:r w:rsidRPr="0050709C">
        <w:rPr>
          <w:noProof/>
          <w:u w:val="none"/>
        </w:rPr>
        <w:t>ANNEX</w:t>
      </w:r>
      <w:r w:rsidRPr="00510F34">
        <w:rPr>
          <w:noProof/>
          <w:u w:val="none"/>
        </w:rPr>
        <w:t xml:space="preserve"> </w:t>
      </w:r>
      <w:r w:rsidR="00216D97" w:rsidRPr="00582AFB">
        <w:rPr>
          <w:noProof/>
          <w:u w:val="none"/>
        </w:rPr>
        <w:t>IV</w:t>
      </w:r>
    </w:p>
    <w:p w14:paraId="72C970BD" w14:textId="77777777" w:rsidR="00CF6435" w:rsidRPr="007E6103" w:rsidRDefault="00CF6435" w:rsidP="007E6103">
      <w:pPr>
        <w:jc w:val="center"/>
        <w:rPr>
          <w:b/>
          <w:noProof/>
        </w:rPr>
      </w:pPr>
      <w:r w:rsidRPr="007E6103">
        <w:rPr>
          <w:b/>
          <w:noProof/>
        </w:rPr>
        <w:t xml:space="preserve">List of </w:t>
      </w:r>
      <w:r w:rsidR="00321F5C" w:rsidRPr="007E6103">
        <w:rPr>
          <w:b/>
          <w:noProof/>
        </w:rPr>
        <w:t xml:space="preserve">ITS </w:t>
      </w:r>
      <w:r w:rsidRPr="007E6103">
        <w:rPr>
          <w:b/>
          <w:noProof/>
        </w:rPr>
        <w:t>services</w:t>
      </w:r>
    </w:p>
    <w:tbl>
      <w:tblPr>
        <w:tblStyle w:val="TableGrid"/>
        <w:tblW w:w="0" w:type="auto"/>
        <w:tblInd w:w="851" w:type="dxa"/>
        <w:tblLook w:val="04A0" w:firstRow="1" w:lastRow="0" w:firstColumn="1" w:lastColumn="0" w:noHBand="0" w:noVBand="1"/>
      </w:tblPr>
      <w:tblGrid>
        <w:gridCol w:w="2795"/>
        <w:gridCol w:w="3117"/>
        <w:gridCol w:w="2523"/>
      </w:tblGrid>
      <w:tr w:rsidR="0038423C" w:rsidRPr="006A68D6" w14:paraId="3B07FF75" w14:textId="77777777" w:rsidTr="00304BFB">
        <w:tc>
          <w:tcPr>
            <w:tcW w:w="2795" w:type="dxa"/>
          </w:tcPr>
          <w:p w14:paraId="34F70436" w14:textId="77777777" w:rsidR="0038423C" w:rsidRPr="006A68D6" w:rsidRDefault="0038423C" w:rsidP="00304BFB">
            <w:pPr>
              <w:keepNext/>
              <w:autoSpaceDE w:val="0"/>
              <w:autoSpaceDN w:val="0"/>
              <w:spacing w:before="360"/>
              <w:outlineLvl w:val="0"/>
              <w:rPr>
                <w:rFonts w:ascii="Times New Roman Bold" w:eastAsiaTheme="minorEastAsia" w:hAnsi="Times New Roman Bold"/>
                <w:b/>
                <w:bCs/>
                <w:noProof/>
                <w:szCs w:val="24"/>
                <w:lang w:eastAsia="en-GB"/>
              </w:rPr>
            </w:pPr>
            <w:r w:rsidRPr="006A68D6">
              <w:rPr>
                <w:rFonts w:ascii="Times New Roman Bold" w:eastAsiaTheme="minorEastAsia" w:hAnsi="Times New Roman Bold"/>
                <w:b/>
                <w:bCs/>
                <w:noProof/>
                <w:szCs w:val="24"/>
                <w:lang w:eastAsia="en-GB"/>
              </w:rPr>
              <w:t>Service</w:t>
            </w:r>
          </w:p>
        </w:tc>
        <w:tc>
          <w:tcPr>
            <w:tcW w:w="3117" w:type="dxa"/>
          </w:tcPr>
          <w:p w14:paraId="036967B5" w14:textId="77777777" w:rsidR="0038423C" w:rsidRPr="006A68D6" w:rsidRDefault="0038423C" w:rsidP="00304BFB">
            <w:pPr>
              <w:keepNext/>
              <w:autoSpaceDE w:val="0"/>
              <w:autoSpaceDN w:val="0"/>
              <w:spacing w:before="360"/>
              <w:outlineLvl w:val="0"/>
              <w:rPr>
                <w:rFonts w:ascii="Times New Roman Bold" w:eastAsiaTheme="minorEastAsia" w:hAnsi="Times New Roman Bold"/>
                <w:b/>
                <w:bCs/>
                <w:noProof/>
                <w:szCs w:val="24"/>
                <w:lang w:eastAsia="en-GB"/>
              </w:rPr>
            </w:pPr>
            <w:r w:rsidRPr="006A68D6">
              <w:rPr>
                <w:rFonts w:ascii="Times New Roman Bold" w:eastAsiaTheme="minorEastAsia" w:hAnsi="Times New Roman Bold"/>
                <w:b/>
                <w:bCs/>
                <w:noProof/>
                <w:szCs w:val="24"/>
                <w:lang w:eastAsia="en-GB"/>
              </w:rPr>
              <w:t>Geographical coverage</w:t>
            </w:r>
          </w:p>
        </w:tc>
        <w:tc>
          <w:tcPr>
            <w:tcW w:w="2523" w:type="dxa"/>
          </w:tcPr>
          <w:p w14:paraId="7DBC474B" w14:textId="77777777" w:rsidR="0038423C" w:rsidRPr="006A68D6" w:rsidRDefault="0038423C" w:rsidP="00304BFB">
            <w:pPr>
              <w:keepNext/>
              <w:autoSpaceDE w:val="0"/>
              <w:autoSpaceDN w:val="0"/>
              <w:spacing w:before="360"/>
              <w:outlineLvl w:val="0"/>
              <w:rPr>
                <w:rFonts w:ascii="Times New Roman Bold" w:eastAsiaTheme="minorEastAsia" w:hAnsi="Times New Roman Bold"/>
                <w:b/>
                <w:bCs/>
                <w:noProof/>
                <w:szCs w:val="24"/>
                <w:lang w:eastAsia="en-GB"/>
              </w:rPr>
            </w:pPr>
            <w:r w:rsidRPr="006A68D6">
              <w:rPr>
                <w:rFonts w:ascii="Times New Roman Bold" w:eastAsiaTheme="minorEastAsia" w:hAnsi="Times New Roman Bold"/>
                <w:b/>
                <w:bCs/>
                <w:noProof/>
                <w:szCs w:val="24"/>
                <w:lang w:eastAsia="en-GB"/>
              </w:rPr>
              <w:t>Date</w:t>
            </w:r>
          </w:p>
        </w:tc>
      </w:tr>
      <w:tr w:rsidR="0038423C" w:rsidRPr="006A68D6" w14:paraId="0510D596" w14:textId="77777777" w:rsidTr="00304BFB">
        <w:tc>
          <w:tcPr>
            <w:tcW w:w="2795" w:type="dxa"/>
          </w:tcPr>
          <w:p w14:paraId="3CE0050B" w14:textId="7DA9DD0B" w:rsidR="0038423C" w:rsidRPr="006A68D6" w:rsidRDefault="0038423C" w:rsidP="00582AFB">
            <w:pPr>
              <w:keepNext/>
              <w:autoSpaceDE w:val="0"/>
              <w:autoSpaceDN w:val="0"/>
              <w:jc w:val="left"/>
              <w:outlineLvl w:val="0"/>
              <w:rPr>
                <w:rFonts w:eastAsiaTheme="minorEastAsia"/>
                <w:bCs/>
                <w:noProof/>
                <w:szCs w:val="24"/>
                <w:lang w:eastAsia="en-GB"/>
              </w:rPr>
            </w:pPr>
            <w:r w:rsidRPr="006A68D6">
              <w:rPr>
                <w:rFonts w:eastAsiaTheme="minorEastAsia"/>
                <w:bCs/>
                <w:noProof/>
                <w:szCs w:val="24"/>
                <w:lang w:eastAsia="en-GB"/>
              </w:rPr>
              <w:t xml:space="preserve">Road safety-related minimum universal traffic information (SRTI) service (as </w:t>
            </w:r>
            <w:r w:rsidR="00905E95">
              <w:rPr>
                <w:rFonts w:eastAsiaTheme="minorEastAsia"/>
                <w:bCs/>
                <w:noProof/>
                <w:szCs w:val="24"/>
                <w:lang w:eastAsia="en-GB"/>
              </w:rPr>
              <w:t>referred to</w:t>
            </w:r>
            <w:r w:rsidR="00905E95" w:rsidRPr="006A68D6">
              <w:rPr>
                <w:rFonts w:eastAsiaTheme="minorEastAsia"/>
                <w:bCs/>
                <w:noProof/>
                <w:szCs w:val="24"/>
                <w:lang w:eastAsia="en-GB"/>
              </w:rPr>
              <w:t xml:space="preserve"> </w:t>
            </w:r>
            <w:r w:rsidRPr="006A68D6">
              <w:rPr>
                <w:rFonts w:eastAsiaTheme="minorEastAsia"/>
                <w:bCs/>
                <w:noProof/>
                <w:szCs w:val="24"/>
                <w:lang w:eastAsia="en-GB"/>
              </w:rPr>
              <w:t>in Commission Delegated Regulation (EU) No 886/2013)</w:t>
            </w:r>
          </w:p>
        </w:tc>
        <w:tc>
          <w:tcPr>
            <w:tcW w:w="3117" w:type="dxa"/>
          </w:tcPr>
          <w:p w14:paraId="792E5328" w14:textId="256E4AAC" w:rsidR="0038423C" w:rsidRPr="006A68D6" w:rsidRDefault="0038423C" w:rsidP="006C5AE4">
            <w:pPr>
              <w:keepNext/>
              <w:autoSpaceDE w:val="0"/>
              <w:autoSpaceDN w:val="0"/>
              <w:outlineLvl w:val="0"/>
              <w:rPr>
                <w:rFonts w:eastAsiaTheme="minorEastAsia"/>
                <w:bCs/>
                <w:noProof/>
                <w:szCs w:val="24"/>
                <w:lang w:eastAsia="en-GB"/>
              </w:rPr>
            </w:pPr>
            <w:r w:rsidRPr="006A68D6">
              <w:rPr>
                <w:rFonts w:eastAsiaTheme="minorEastAsia"/>
                <w:bCs/>
                <w:noProof/>
                <w:szCs w:val="24"/>
                <w:lang w:eastAsia="en-GB"/>
              </w:rPr>
              <w:t xml:space="preserve">The </w:t>
            </w:r>
            <w:r w:rsidR="000B312D">
              <w:rPr>
                <w:bCs/>
                <w:noProof/>
              </w:rPr>
              <w:t xml:space="preserve">trans-European </w:t>
            </w:r>
            <w:r w:rsidRPr="006A68D6">
              <w:rPr>
                <w:rFonts w:eastAsiaTheme="minorEastAsia"/>
                <w:bCs/>
                <w:noProof/>
                <w:szCs w:val="24"/>
                <w:lang w:eastAsia="en-GB"/>
              </w:rPr>
              <w:t xml:space="preserve">network </w:t>
            </w:r>
            <w:r w:rsidR="006C5AE4">
              <w:rPr>
                <w:rFonts w:eastAsiaTheme="minorEastAsia"/>
                <w:bCs/>
                <w:noProof/>
                <w:szCs w:val="24"/>
                <w:lang w:eastAsia="en-GB"/>
              </w:rPr>
              <w:t xml:space="preserve">for roads </w:t>
            </w:r>
            <w:r w:rsidRPr="006A68D6">
              <w:rPr>
                <w:rFonts w:eastAsiaTheme="minorEastAsia"/>
                <w:bCs/>
                <w:noProof/>
                <w:szCs w:val="24"/>
                <w:lang w:eastAsia="en-GB"/>
              </w:rPr>
              <w:t>and other motorways not included in th</w:t>
            </w:r>
            <w:r w:rsidR="000B312D">
              <w:rPr>
                <w:rFonts w:eastAsiaTheme="minorEastAsia"/>
                <w:bCs/>
                <w:noProof/>
                <w:szCs w:val="24"/>
                <w:lang w:eastAsia="en-GB"/>
              </w:rPr>
              <w:t>at</w:t>
            </w:r>
            <w:r w:rsidRPr="006A68D6">
              <w:rPr>
                <w:rFonts w:eastAsiaTheme="minorEastAsia"/>
                <w:bCs/>
                <w:noProof/>
                <w:szCs w:val="24"/>
                <w:lang w:eastAsia="en-GB"/>
              </w:rPr>
              <w:t xml:space="preserve"> network</w:t>
            </w:r>
          </w:p>
        </w:tc>
        <w:tc>
          <w:tcPr>
            <w:tcW w:w="2523" w:type="dxa"/>
          </w:tcPr>
          <w:p w14:paraId="01390F69" w14:textId="77777777" w:rsidR="0038423C" w:rsidRPr="006A68D6" w:rsidRDefault="0038423C" w:rsidP="00344476">
            <w:pPr>
              <w:keepNext/>
              <w:autoSpaceDE w:val="0"/>
              <w:autoSpaceDN w:val="0"/>
              <w:outlineLvl w:val="0"/>
              <w:rPr>
                <w:rFonts w:eastAsiaTheme="minorEastAsia"/>
                <w:bCs/>
                <w:noProof/>
                <w:szCs w:val="24"/>
                <w:lang w:eastAsia="en-GB"/>
              </w:rPr>
            </w:pPr>
            <w:r w:rsidRPr="006A68D6">
              <w:rPr>
                <w:rFonts w:eastAsiaTheme="minorEastAsia"/>
                <w:bCs/>
                <w:noProof/>
                <w:szCs w:val="24"/>
                <w:lang w:eastAsia="en-GB"/>
              </w:rPr>
              <w:t>31 December 2026</w:t>
            </w:r>
          </w:p>
        </w:tc>
      </w:tr>
    </w:tbl>
    <w:p w14:paraId="71DE95EF" w14:textId="1FC3ED10" w:rsidR="001C2816" w:rsidRPr="007F65E5" w:rsidRDefault="0082020A" w:rsidP="00B37414">
      <w:pPr>
        <w:rPr>
          <w:noProof/>
        </w:rPr>
      </w:pPr>
      <w:r>
        <w:rPr>
          <w:b/>
          <w:noProof/>
        </w:rPr>
        <w:t>’</w:t>
      </w:r>
      <w:r>
        <w:rPr>
          <w:noProof/>
        </w:rPr>
        <w:t>.</w:t>
      </w:r>
    </w:p>
    <w:sectPr w:rsidR="001C2816" w:rsidRPr="007F65E5" w:rsidSect="004209E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7C46" w14:textId="77777777" w:rsidR="00304BFB" w:rsidRDefault="00304BFB" w:rsidP="00B37414">
      <w:pPr>
        <w:spacing w:before="0" w:after="0"/>
      </w:pPr>
      <w:r>
        <w:separator/>
      </w:r>
    </w:p>
  </w:endnote>
  <w:endnote w:type="continuationSeparator" w:id="0">
    <w:p w14:paraId="78645D05" w14:textId="77777777" w:rsidR="00304BFB" w:rsidRDefault="00304BFB" w:rsidP="00B374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766C" w14:textId="77777777" w:rsidR="004209E8" w:rsidRPr="009B6F3A" w:rsidRDefault="004209E8" w:rsidP="009B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B6F3A" w:rsidRPr="00D94637" w14:paraId="2DEB7167" w14:textId="77777777" w:rsidTr="009B6F3A">
      <w:trPr>
        <w:jc w:val="center"/>
      </w:trPr>
      <w:tc>
        <w:tcPr>
          <w:tcW w:w="5000" w:type="pct"/>
          <w:gridSpan w:val="7"/>
          <w:shd w:val="clear" w:color="auto" w:fill="auto"/>
          <w:tcMar>
            <w:top w:w="57" w:type="dxa"/>
          </w:tcMar>
        </w:tcPr>
        <w:p w14:paraId="4A72B736" w14:textId="77777777" w:rsidR="009B6F3A" w:rsidRPr="00D94637" w:rsidRDefault="009B6F3A" w:rsidP="00D94637">
          <w:pPr>
            <w:pStyle w:val="FooterText"/>
            <w:pBdr>
              <w:top w:val="single" w:sz="4" w:space="1" w:color="auto"/>
            </w:pBdr>
            <w:spacing w:before="200"/>
            <w:rPr>
              <w:sz w:val="2"/>
              <w:szCs w:val="2"/>
            </w:rPr>
          </w:pPr>
          <w:bookmarkStart w:id="1" w:name="FOOTER_STANDARD"/>
        </w:p>
      </w:tc>
    </w:tr>
    <w:tr w:rsidR="009B6F3A" w:rsidRPr="00B310DC" w14:paraId="5AD88925" w14:textId="77777777" w:rsidTr="009B6F3A">
      <w:trPr>
        <w:jc w:val="center"/>
      </w:trPr>
      <w:tc>
        <w:tcPr>
          <w:tcW w:w="2500" w:type="pct"/>
          <w:gridSpan w:val="2"/>
          <w:shd w:val="clear" w:color="auto" w:fill="auto"/>
          <w:tcMar>
            <w:top w:w="0" w:type="dxa"/>
          </w:tcMar>
        </w:tcPr>
        <w:p w14:paraId="3C6A4DA4" w14:textId="0F9120AD" w:rsidR="009B6F3A" w:rsidRPr="00AD7BF2" w:rsidRDefault="009B6F3A" w:rsidP="004F54B2">
          <w:pPr>
            <w:pStyle w:val="FooterText"/>
          </w:pPr>
          <w:r>
            <w:t>15114/21</w:t>
          </w:r>
          <w:r w:rsidRPr="002511D8">
            <w:t xml:space="preserve"> </w:t>
          </w:r>
          <w:r>
            <w:t>ADD 1</w:t>
          </w:r>
        </w:p>
      </w:tc>
      <w:tc>
        <w:tcPr>
          <w:tcW w:w="625" w:type="pct"/>
          <w:shd w:val="clear" w:color="auto" w:fill="auto"/>
          <w:tcMar>
            <w:top w:w="0" w:type="dxa"/>
          </w:tcMar>
        </w:tcPr>
        <w:p w14:paraId="55316285" w14:textId="77777777" w:rsidR="009B6F3A" w:rsidRPr="00AD7BF2" w:rsidRDefault="009B6F3A" w:rsidP="00D94637">
          <w:pPr>
            <w:pStyle w:val="FooterText"/>
            <w:jc w:val="center"/>
          </w:pPr>
        </w:p>
      </w:tc>
      <w:tc>
        <w:tcPr>
          <w:tcW w:w="1286" w:type="pct"/>
          <w:gridSpan w:val="3"/>
          <w:shd w:val="clear" w:color="auto" w:fill="auto"/>
          <w:tcMar>
            <w:top w:w="0" w:type="dxa"/>
          </w:tcMar>
        </w:tcPr>
        <w:p w14:paraId="629D6F44" w14:textId="15668F00" w:rsidR="009B6F3A" w:rsidRPr="002511D8" w:rsidRDefault="009B6F3A" w:rsidP="00D94637">
          <w:pPr>
            <w:pStyle w:val="FooterText"/>
            <w:jc w:val="center"/>
          </w:pPr>
          <w:r>
            <w:t>JL/cf</w:t>
          </w:r>
        </w:p>
      </w:tc>
      <w:tc>
        <w:tcPr>
          <w:tcW w:w="589" w:type="pct"/>
          <w:shd w:val="clear" w:color="auto" w:fill="auto"/>
          <w:tcMar>
            <w:top w:w="0" w:type="dxa"/>
          </w:tcMar>
        </w:tcPr>
        <w:p w14:paraId="4CC27392" w14:textId="50114435" w:rsidR="009B6F3A" w:rsidRPr="00B310DC" w:rsidRDefault="009B6F3A" w:rsidP="009B6F3A">
          <w:pPr>
            <w:pStyle w:val="FooterText"/>
            <w:jc w:val="right"/>
          </w:pPr>
          <w:r>
            <w:fldChar w:fldCharType="begin"/>
          </w:r>
          <w:r>
            <w:instrText xml:space="preserve"> PAGE  \* MERGEFORMAT </w:instrText>
          </w:r>
          <w:r>
            <w:fldChar w:fldCharType="separate"/>
          </w:r>
          <w:r>
            <w:rPr>
              <w:noProof/>
            </w:rPr>
            <w:t>0</w:t>
          </w:r>
          <w:r>
            <w:fldChar w:fldCharType="end"/>
          </w:r>
        </w:p>
      </w:tc>
    </w:tr>
    <w:tr w:rsidR="009B6F3A" w:rsidRPr="00D94637" w14:paraId="4DDAC83B" w14:textId="77777777" w:rsidTr="009B6F3A">
      <w:trPr>
        <w:jc w:val="center"/>
      </w:trPr>
      <w:tc>
        <w:tcPr>
          <w:tcW w:w="1774" w:type="pct"/>
          <w:shd w:val="clear" w:color="auto" w:fill="auto"/>
        </w:tcPr>
        <w:p w14:paraId="401239DE" w14:textId="27866830" w:rsidR="009B6F3A" w:rsidRPr="00AD7BF2" w:rsidRDefault="009B6F3A" w:rsidP="00D94637">
          <w:pPr>
            <w:pStyle w:val="FooterText"/>
            <w:spacing w:before="40"/>
          </w:pPr>
        </w:p>
      </w:tc>
      <w:tc>
        <w:tcPr>
          <w:tcW w:w="1455" w:type="pct"/>
          <w:gridSpan w:val="3"/>
          <w:shd w:val="clear" w:color="auto" w:fill="auto"/>
        </w:tcPr>
        <w:p w14:paraId="1642C2EE" w14:textId="20B5345D" w:rsidR="009B6F3A" w:rsidRPr="00AD7BF2" w:rsidRDefault="009B6F3A" w:rsidP="00D204D6">
          <w:pPr>
            <w:pStyle w:val="FooterText"/>
            <w:spacing w:before="40"/>
            <w:jc w:val="center"/>
          </w:pPr>
          <w:r>
            <w:t>TREE.2.A</w:t>
          </w:r>
        </w:p>
      </w:tc>
      <w:tc>
        <w:tcPr>
          <w:tcW w:w="742" w:type="pct"/>
          <w:shd w:val="clear" w:color="auto" w:fill="auto"/>
        </w:tcPr>
        <w:p w14:paraId="1A3CF0AA" w14:textId="4DFA3C44" w:rsidR="009B6F3A" w:rsidRPr="00D94637" w:rsidRDefault="009B6F3A" w:rsidP="002F0099">
          <w:pPr>
            <w:pStyle w:val="FooterText"/>
            <w:jc w:val="center"/>
            <w:rPr>
              <w:b/>
              <w:position w:val="-4"/>
              <w:sz w:val="36"/>
            </w:rPr>
          </w:pPr>
        </w:p>
      </w:tc>
      <w:tc>
        <w:tcPr>
          <w:tcW w:w="1029" w:type="pct"/>
          <w:gridSpan w:val="2"/>
          <w:shd w:val="clear" w:color="auto" w:fill="auto"/>
        </w:tcPr>
        <w:p w14:paraId="2EE9792F" w14:textId="720320CE" w:rsidR="009B6F3A" w:rsidRPr="000310C2" w:rsidRDefault="009B6F3A" w:rsidP="00D94637">
          <w:pPr>
            <w:pStyle w:val="FooterText"/>
            <w:jc w:val="right"/>
            <w:rPr>
              <w:spacing w:val="-20"/>
              <w:sz w:val="16"/>
            </w:rPr>
          </w:pPr>
          <w:r>
            <w:rPr>
              <w:b/>
              <w:spacing w:val="-20"/>
              <w:position w:val="-4"/>
              <w:sz w:val="36"/>
            </w:rPr>
            <w:t>EN</w:t>
          </w:r>
        </w:p>
      </w:tc>
    </w:tr>
    <w:bookmarkEnd w:id="1"/>
  </w:tbl>
  <w:p w14:paraId="10C750D2" w14:textId="353D9429" w:rsidR="00304BFB" w:rsidRPr="009B6F3A" w:rsidRDefault="00304BFB" w:rsidP="009B6F3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B6F3A" w:rsidRPr="00D94637" w14:paraId="25D9E164" w14:textId="77777777" w:rsidTr="009B6F3A">
      <w:trPr>
        <w:jc w:val="center"/>
      </w:trPr>
      <w:tc>
        <w:tcPr>
          <w:tcW w:w="5000" w:type="pct"/>
          <w:gridSpan w:val="7"/>
          <w:shd w:val="clear" w:color="auto" w:fill="auto"/>
          <w:tcMar>
            <w:top w:w="57" w:type="dxa"/>
          </w:tcMar>
        </w:tcPr>
        <w:p w14:paraId="3DF2C770" w14:textId="77777777" w:rsidR="009B6F3A" w:rsidRPr="00D94637" w:rsidRDefault="009B6F3A" w:rsidP="00D94637">
          <w:pPr>
            <w:pStyle w:val="FooterText"/>
            <w:pBdr>
              <w:top w:val="single" w:sz="4" w:space="1" w:color="auto"/>
            </w:pBdr>
            <w:spacing w:before="200"/>
            <w:rPr>
              <w:sz w:val="2"/>
              <w:szCs w:val="2"/>
            </w:rPr>
          </w:pPr>
        </w:p>
      </w:tc>
    </w:tr>
    <w:tr w:rsidR="009B6F3A" w:rsidRPr="00B310DC" w14:paraId="5A97A824" w14:textId="77777777" w:rsidTr="009B6F3A">
      <w:trPr>
        <w:jc w:val="center"/>
      </w:trPr>
      <w:tc>
        <w:tcPr>
          <w:tcW w:w="2500" w:type="pct"/>
          <w:gridSpan w:val="2"/>
          <w:shd w:val="clear" w:color="auto" w:fill="auto"/>
          <w:tcMar>
            <w:top w:w="0" w:type="dxa"/>
          </w:tcMar>
        </w:tcPr>
        <w:p w14:paraId="32A87AAB" w14:textId="08B06614" w:rsidR="009B6F3A" w:rsidRPr="00AD7BF2" w:rsidRDefault="009B6F3A" w:rsidP="004F54B2">
          <w:pPr>
            <w:pStyle w:val="FooterText"/>
          </w:pPr>
          <w:r>
            <w:t>15114/21</w:t>
          </w:r>
          <w:r w:rsidRPr="002511D8">
            <w:t xml:space="preserve"> </w:t>
          </w:r>
          <w:r>
            <w:t>ADD 1</w:t>
          </w:r>
        </w:p>
      </w:tc>
      <w:tc>
        <w:tcPr>
          <w:tcW w:w="625" w:type="pct"/>
          <w:shd w:val="clear" w:color="auto" w:fill="auto"/>
          <w:tcMar>
            <w:top w:w="0" w:type="dxa"/>
          </w:tcMar>
        </w:tcPr>
        <w:p w14:paraId="0476B496" w14:textId="77777777" w:rsidR="009B6F3A" w:rsidRPr="00AD7BF2" w:rsidRDefault="009B6F3A" w:rsidP="00D94637">
          <w:pPr>
            <w:pStyle w:val="FooterText"/>
            <w:jc w:val="center"/>
          </w:pPr>
        </w:p>
      </w:tc>
      <w:tc>
        <w:tcPr>
          <w:tcW w:w="1286" w:type="pct"/>
          <w:gridSpan w:val="3"/>
          <w:shd w:val="clear" w:color="auto" w:fill="auto"/>
          <w:tcMar>
            <w:top w:w="0" w:type="dxa"/>
          </w:tcMar>
        </w:tcPr>
        <w:p w14:paraId="58FA9663" w14:textId="08C91037" w:rsidR="009B6F3A" w:rsidRPr="002511D8" w:rsidRDefault="009B6F3A" w:rsidP="00D94637">
          <w:pPr>
            <w:pStyle w:val="FooterText"/>
            <w:jc w:val="center"/>
          </w:pPr>
          <w:r>
            <w:t>JL/cf</w:t>
          </w:r>
        </w:p>
      </w:tc>
      <w:tc>
        <w:tcPr>
          <w:tcW w:w="589" w:type="pct"/>
          <w:shd w:val="clear" w:color="auto" w:fill="auto"/>
          <w:tcMar>
            <w:top w:w="0" w:type="dxa"/>
          </w:tcMar>
        </w:tcPr>
        <w:p w14:paraId="20684123" w14:textId="36582948" w:rsidR="009B6F3A" w:rsidRPr="00B310DC" w:rsidRDefault="009B6F3A" w:rsidP="00D94637">
          <w:pPr>
            <w:pStyle w:val="FooterText"/>
            <w:jc w:val="right"/>
          </w:pPr>
        </w:p>
      </w:tc>
    </w:tr>
    <w:tr w:rsidR="009B6F3A" w:rsidRPr="00D94637" w14:paraId="7A268936" w14:textId="77777777" w:rsidTr="009B6F3A">
      <w:trPr>
        <w:jc w:val="center"/>
      </w:trPr>
      <w:tc>
        <w:tcPr>
          <w:tcW w:w="1774" w:type="pct"/>
          <w:shd w:val="clear" w:color="auto" w:fill="auto"/>
        </w:tcPr>
        <w:p w14:paraId="071A5169" w14:textId="2C6930E7" w:rsidR="009B6F3A" w:rsidRPr="00AD7BF2" w:rsidRDefault="009B6F3A" w:rsidP="00D94637">
          <w:pPr>
            <w:pStyle w:val="FooterText"/>
            <w:spacing w:before="40"/>
          </w:pPr>
        </w:p>
      </w:tc>
      <w:tc>
        <w:tcPr>
          <w:tcW w:w="1455" w:type="pct"/>
          <w:gridSpan w:val="3"/>
          <w:shd w:val="clear" w:color="auto" w:fill="auto"/>
        </w:tcPr>
        <w:p w14:paraId="17B1E4F1" w14:textId="1167ED78" w:rsidR="009B6F3A" w:rsidRPr="00AD7BF2" w:rsidRDefault="009B6F3A" w:rsidP="00D204D6">
          <w:pPr>
            <w:pStyle w:val="FooterText"/>
            <w:spacing w:before="40"/>
            <w:jc w:val="center"/>
          </w:pPr>
          <w:r>
            <w:t>TREE.2.A</w:t>
          </w:r>
        </w:p>
      </w:tc>
      <w:tc>
        <w:tcPr>
          <w:tcW w:w="742" w:type="pct"/>
          <w:shd w:val="clear" w:color="auto" w:fill="auto"/>
        </w:tcPr>
        <w:p w14:paraId="1EA8A315" w14:textId="67A59905" w:rsidR="009B6F3A" w:rsidRPr="00D94637" w:rsidRDefault="009B6F3A" w:rsidP="002F0099">
          <w:pPr>
            <w:pStyle w:val="FooterText"/>
            <w:jc w:val="center"/>
            <w:rPr>
              <w:b/>
              <w:position w:val="-4"/>
              <w:sz w:val="36"/>
            </w:rPr>
          </w:pPr>
        </w:p>
      </w:tc>
      <w:tc>
        <w:tcPr>
          <w:tcW w:w="1029" w:type="pct"/>
          <w:gridSpan w:val="2"/>
          <w:shd w:val="clear" w:color="auto" w:fill="auto"/>
        </w:tcPr>
        <w:p w14:paraId="46851294" w14:textId="5D637C62" w:rsidR="009B6F3A" w:rsidRPr="000310C2" w:rsidRDefault="009B6F3A" w:rsidP="00D94637">
          <w:pPr>
            <w:pStyle w:val="FooterText"/>
            <w:jc w:val="right"/>
            <w:rPr>
              <w:spacing w:val="-20"/>
              <w:sz w:val="16"/>
            </w:rPr>
          </w:pPr>
          <w:r>
            <w:rPr>
              <w:b/>
              <w:spacing w:val="-20"/>
              <w:position w:val="-4"/>
              <w:sz w:val="36"/>
            </w:rPr>
            <w:t>EN</w:t>
          </w:r>
        </w:p>
      </w:tc>
    </w:tr>
  </w:tbl>
  <w:p w14:paraId="5456433F" w14:textId="77777777" w:rsidR="004209E8" w:rsidRPr="009B6F3A" w:rsidRDefault="004209E8" w:rsidP="009B6F3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ECA1" w14:textId="77777777" w:rsidR="009B6F3A" w:rsidRPr="004209E8" w:rsidRDefault="009B6F3A" w:rsidP="004209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7B9F" w14:textId="77777777" w:rsidR="009B6F3A" w:rsidRPr="004209E8" w:rsidRDefault="009B6F3A" w:rsidP="004209E8">
    <w:pPr>
      <w:pStyle w:val="Footer"/>
      <w:rPr>
        <w:rFonts w:ascii="Arial" w:hAnsi="Arial" w:cs="Arial"/>
        <w:b/>
        <w:sz w:val="48"/>
      </w:rPr>
    </w:pPr>
    <w:r w:rsidRPr="004209E8">
      <w:rPr>
        <w:rFonts w:ascii="Arial" w:hAnsi="Arial" w:cs="Arial"/>
        <w:b/>
        <w:sz w:val="48"/>
      </w:rPr>
      <w:t>EN</w:t>
    </w:r>
    <w:r w:rsidRPr="004209E8">
      <w:rPr>
        <w:rFonts w:ascii="Arial" w:hAnsi="Arial" w:cs="Arial"/>
        <w:b/>
        <w:sz w:val="48"/>
      </w:rPr>
      <w:tab/>
    </w:r>
    <w:r w:rsidRPr="004209E8">
      <w:rPr>
        <w:rFonts w:ascii="Arial" w:hAnsi="Arial" w:cs="Arial"/>
        <w:b/>
        <w:sz w:val="48"/>
      </w:rPr>
      <w:tab/>
    </w:r>
    <w:r w:rsidRPr="004209E8">
      <w:tab/>
    </w:r>
    <w:r w:rsidRPr="004209E8">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B198" w14:textId="77777777" w:rsidR="009B6F3A" w:rsidRPr="004209E8" w:rsidRDefault="009B6F3A" w:rsidP="004209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5C09" w14:textId="07263467" w:rsidR="004209E8" w:rsidRPr="004209E8" w:rsidRDefault="004209E8" w:rsidP="004209E8">
    <w:pPr>
      <w:pStyle w:val="Footer"/>
      <w:rPr>
        <w:rFonts w:ascii="Arial" w:hAnsi="Arial" w:cs="Arial"/>
        <w:b/>
        <w:sz w:val="48"/>
      </w:rPr>
    </w:pPr>
    <w:r w:rsidRPr="004209E8">
      <w:rPr>
        <w:rFonts w:ascii="Arial" w:hAnsi="Arial" w:cs="Arial"/>
        <w:b/>
        <w:sz w:val="48"/>
      </w:rPr>
      <w:t>EN</w:t>
    </w:r>
    <w:r w:rsidRPr="004209E8">
      <w:rPr>
        <w:rFonts w:ascii="Arial" w:hAnsi="Arial" w:cs="Arial"/>
        <w:b/>
        <w:sz w:val="48"/>
      </w:rPr>
      <w:tab/>
    </w:r>
    <w:r>
      <w:fldChar w:fldCharType="begin"/>
    </w:r>
    <w:r>
      <w:instrText xml:space="preserve"> PAGE  \* MERGEFORMAT </w:instrText>
    </w:r>
    <w:r>
      <w:fldChar w:fldCharType="separate"/>
    </w:r>
    <w:r w:rsidR="009B6F3A">
      <w:rPr>
        <w:noProof/>
      </w:rPr>
      <w:t>4</w:t>
    </w:r>
    <w:r>
      <w:fldChar w:fldCharType="end"/>
    </w:r>
    <w:r>
      <w:tab/>
    </w:r>
    <w:r w:rsidRPr="004209E8">
      <w:tab/>
    </w:r>
    <w:r w:rsidRPr="004209E8">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6E5A" w14:textId="77777777" w:rsidR="004209E8" w:rsidRPr="004209E8" w:rsidRDefault="004209E8" w:rsidP="0042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0409" w14:textId="77777777" w:rsidR="00304BFB" w:rsidRDefault="00304BFB" w:rsidP="00B37414">
      <w:pPr>
        <w:spacing w:before="0" w:after="0"/>
      </w:pPr>
      <w:r>
        <w:separator/>
      </w:r>
    </w:p>
  </w:footnote>
  <w:footnote w:type="continuationSeparator" w:id="0">
    <w:p w14:paraId="69EB4516" w14:textId="77777777" w:rsidR="00304BFB" w:rsidRDefault="00304BFB" w:rsidP="00B37414">
      <w:pPr>
        <w:spacing w:before="0" w:after="0"/>
      </w:pPr>
      <w:r>
        <w:continuationSeparator/>
      </w:r>
    </w:p>
  </w:footnote>
  <w:footnote w:id="1">
    <w:p w14:paraId="7164F0A3" w14:textId="06B10961" w:rsidR="00C55A6E" w:rsidRPr="004B052D" w:rsidRDefault="00C55A6E">
      <w:pPr>
        <w:pStyle w:val="FootnoteText"/>
      </w:pPr>
      <w:r>
        <w:rPr>
          <w:rStyle w:val="FootnoteReference"/>
        </w:rPr>
        <w:footnoteRef/>
      </w:r>
      <w:r w:rsidRPr="004B052D">
        <w:tab/>
      </w:r>
      <w:r w:rsidRPr="00C55A6E">
        <w:t>Such as Regulation (EU) 2020/1056 of the European Parliament and of the Council of 15 July 2020 on electronic freight transport information (OJ L 249, 31.7.2020, p. 33), and the work pursued by the Digital Transport and Logistics Forum (DTLF).</w:t>
      </w:r>
    </w:p>
  </w:footnote>
  <w:footnote w:id="2">
    <w:p w14:paraId="704CFE16" w14:textId="41D4AD81" w:rsidR="00C55A6E" w:rsidRPr="004B052D" w:rsidRDefault="00C55A6E">
      <w:pPr>
        <w:pStyle w:val="FootnoteText"/>
      </w:pPr>
      <w:r>
        <w:rPr>
          <w:rStyle w:val="FootnoteReference"/>
        </w:rPr>
        <w:footnoteRef/>
      </w:r>
      <w:r w:rsidRPr="004B052D">
        <w:tab/>
      </w:r>
      <w:r w:rsidRPr="00C55A6E">
        <w:t>Such as Regulation (EU) 2020/1056.</w:t>
      </w:r>
    </w:p>
  </w:footnote>
  <w:footnote w:id="3">
    <w:p w14:paraId="07E09229" w14:textId="4729DD3D" w:rsidR="00C55A6E" w:rsidRPr="004B052D" w:rsidRDefault="00C55A6E">
      <w:pPr>
        <w:pStyle w:val="FootnoteText"/>
      </w:pPr>
      <w:r>
        <w:rPr>
          <w:rStyle w:val="FootnoteReference"/>
        </w:rPr>
        <w:footnoteRef/>
      </w:r>
      <w:r w:rsidRPr="004B052D">
        <w:tab/>
      </w:r>
      <w:r w:rsidRPr="00C55A6E">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14.6.2018, p. 1).</w:t>
      </w:r>
    </w:p>
  </w:footnote>
  <w:footnote w:id="4">
    <w:p w14:paraId="5433EC69" w14:textId="722FD080" w:rsidR="00C55A6E" w:rsidRPr="004B052D" w:rsidRDefault="00C55A6E">
      <w:pPr>
        <w:pStyle w:val="FootnoteText"/>
      </w:pPr>
      <w:r>
        <w:rPr>
          <w:rStyle w:val="FootnoteReference"/>
        </w:rPr>
        <w:footnoteRef/>
      </w:r>
      <w:r w:rsidRPr="004B052D">
        <w:tab/>
      </w:r>
      <w:r w:rsidRPr="00C55A6E">
        <w:t>Regulation (EU) No 167/2013 of the European Parliament and of the Council of 5 February 2013 on the approval and market surveillance of agricultural and forestry vehicles (OJ L 60, 2.3.2013, p. 1).</w:t>
      </w:r>
    </w:p>
  </w:footnote>
  <w:footnote w:id="5">
    <w:p w14:paraId="0401AD84" w14:textId="2CD2550D" w:rsidR="00C55A6E" w:rsidRPr="004B052D" w:rsidRDefault="00C55A6E">
      <w:pPr>
        <w:pStyle w:val="FootnoteText"/>
      </w:pPr>
      <w:r>
        <w:rPr>
          <w:rStyle w:val="FootnoteReference"/>
        </w:rPr>
        <w:footnoteRef/>
      </w:r>
      <w:r w:rsidRPr="004B052D">
        <w:tab/>
      </w:r>
      <w:r w:rsidRPr="00C55A6E">
        <w:t>Regulation (EU) No 168/2013 of the European Parliament and of the Council of 15 January 2013 on the approval and market surveillance of two- or three-wheel vehicles and quadricycles (OJ L 60, 2.3.2013, p. 52).</w:t>
      </w:r>
    </w:p>
  </w:footnote>
  <w:footnote w:id="6">
    <w:p w14:paraId="5BFD8190" w14:textId="133361E2" w:rsidR="00B9149A" w:rsidRPr="004B052D" w:rsidRDefault="00B9149A">
      <w:pPr>
        <w:pStyle w:val="FootnoteText"/>
      </w:pPr>
      <w:r>
        <w:rPr>
          <w:rStyle w:val="FootnoteReference"/>
        </w:rPr>
        <w:footnoteRef/>
      </w:r>
      <w:r w:rsidRPr="004B052D">
        <w:tab/>
      </w:r>
      <w:r w:rsidRPr="00B9149A">
        <w:t xml:space="preserve">Commission Delegated Regulation (EU) </w:t>
      </w:r>
      <w:r w:rsidR="00B4598C" w:rsidRPr="00B4598C">
        <w:t>2015/962 of 18 December 2014 supplementing Directive 2010/40/EU of the European Parliament and of the Council with regard to the provision of EU-wide real-time traffic information services (OJ L 157, 23.6.2015, p. 21)</w:t>
      </w:r>
      <w:r w:rsidRPr="00B9149A">
        <w:t>.</w:t>
      </w:r>
    </w:p>
  </w:footnote>
  <w:footnote w:id="7">
    <w:p w14:paraId="0C1A4442" w14:textId="77777777" w:rsidR="00304BFB" w:rsidRDefault="00304BFB" w:rsidP="00672157">
      <w:pPr>
        <w:pStyle w:val="FootnoteText"/>
      </w:pPr>
      <w:r>
        <w:rPr>
          <w:rStyle w:val="FootnoteReference"/>
        </w:rPr>
        <w:footnoteRef/>
      </w:r>
      <w:r>
        <w:tab/>
        <w:t>Commission Delegated Regulation (EU) No 885/2013 of 15 May 2013 supplementing ITS Directive 2010/40/EU of the European Parliament and of the Council with regard to the provision of information services for safe and secure parking places for trucks and commercial vehicles (OJ L 247, 18.9.2013, p. 1).</w:t>
      </w:r>
    </w:p>
  </w:footnote>
  <w:footnote w:id="8">
    <w:p w14:paraId="2B12D003" w14:textId="77777777" w:rsidR="00304BFB" w:rsidRDefault="00304BFB" w:rsidP="00FE7E1F">
      <w:pPr>
        <w:pStyle w:val="FootnoteText"/>
      </w:pPr>
      <w:r>
        <w:rPr>
          <w:rStyle w:val="FootnoteReference"/>
        </w:rPr>
        <w:footnoteRef/>
      </w:r>
      <w:r>
        <w:tab/>
        <w:t>Commission Delegated Regulation (EU) No 886/2013 of 15 May 2013 supplementing Directive 2010/40/EU of the European Parliament and of the Council with regard to data and procedures for the provision, where possible, of road safety-related minimum universal traffic information free of charge to users (OJ L 247, 18.9.2013, p. 6).</w:t>
      </w:r>
    </w:p>
  </w:footnote>
  <w:footnote w:id="9">
    <w:p w14:paraId="2CDD284C" w14:textId="77777777" w:rsidR="00304BFB" w:rsidRDefault="00304BFB" w:rsidP="00FE7E1F">
      <w:pPr>
        <w:pStyle w:val="FootnoteText"/>
      </w:pPr>
      <w:r>
        <w:rPr>
          <w:rStyle w:val="FootnoteReference"/>
        </w:rPr>
        <w:footnoteRef/>
      </w:r>
      <w:r>
        <w:tab/>
        <w:t>Commission Delegated Regulation (EU) 2017/1926 of 31 May 2017 supplementing Directive 2010/40/EU of the European Parliament and of the Council with regard to the provision of EU-wide multimodal travel information services (OJ L 272, 21.10.2017,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B55E" w14:textId="77777777" w:rsidR="004209E8" w:rsidRPr="009B6F3A" w:rsidRDefault="004209E8" w:rsidP="009B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7FF6" w14:textId="521F2CF1" w:rsidR="004209E8" w:rsidRPr="009B6F3A" w:rsidRDefault="009B6F3A" w:rsidP="009B6F3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A1FD" w14:textId="7EEE40FA" w:rsidR="004209E8" w:rsidRPr="009B6F3A" w:rsidRDefault="009B6F3A" w:rsidP="009B6F3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104D" w14:textId="77777777" w:rsidR="009B6F3A" w:rsidRPr="004209E8" w:rsidRDefault="009B6F3A" w:rsidP="004209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63FA" w14:textId="77777777" w:rsidR="009B6F3A" w:rsidRPr="004209E8" w:rsidRDefault="009B6F3A" w:rsidP="004209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B225" w14:textId="77777777" w:rsidR="009B6F3A" w:rsidRPr="004209E8" w:rsidRDefault="009B6F3A" w:rsidP="0042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964A5B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38C915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6F83DA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4F6634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16AF1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7C02CB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4986F9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478AE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6763E6"/>
    <w:multiLevelType w:val="hybridMultilevel"/>
    <w:tmpl w:val="54E0871C"/>
    <w:lvl w:ilvl="0" w:tplc="226010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22"/>
  </w:num>
  <w:num w:numId="14">
    <w:abstractNumId w:val="12"/>
  </w:num>
  <w:num w:numId="15">
    <w:abstractNumId w:val="14"/>
  </w:num>
  <w:num w:numId="16">
    <w:abstractNumId w:val="10"/>
  </w:num>
  <w:num w:numId="17">
    <w:abstractNumId w:val="21"/>
  </w:num>
  <w:num w:numId="18">
    <w:abstractNumId w:val="9"/>
  </w:num>
  <w:num w:numId="19">
    <w:abstractNumId w:val="16"/>
  </w:num>
  <w:num w:numId="20">
    <w:abstractNumId w:val="18"/>
  </w:num>
  <w:num w:numId="21">
    <w:abstractNumId w:val="19"/>
  </w:num>
  <w:num w:numId="22">
    <w:abstractNumId w:val="11"/>
  </w:num>
  <w:num w:numId="23">
    <w:abstractNumId w:val="17"/>
  </w:num>
  <w:num w:numId="24">
    <w:abstractNumId w:val="23"/>
  </w:num>
  <w:num w:numId="25">
    <w:abstractNumId w:val="20"/>
  </w:num>
  <w:num w:numId="26">
    <w:abstractNumId w:val="13"/>
  </w:num>
  <w:num w:numId="27">
    <w:abstractNumId w:val="22"/>
  </w:num>
  <w:num w:numId="28">
    <w:abstractNumId w:val="12"/>
  </w:num>
  <w:num w:numId="29">
    <w:abstractNumId w:val="14"/>
  </w:num>
  <w:num w:numId="30">
    <w:abstractNumId w:val="10"/>
  </w:num>
  <w:num w:numId="31">
    <w:abstractNumId w:val="21"/>
  </w:num>
  <w:num w:numId="32">
    <w:abstractNumId w:val="9"/>
  </w:num>
  <w:num w:numId="33">
    <w:abstractNumId w:val="16"/>
  </w:num>
  <w:num w:numId="34">
    <w:abstractNumId w:val="18"/>
  </w:num>
  <w:num w:numId="35">
    <w:abstractNumId w:val="19"/>
  </w:num>
  <w:num w:numId="36">
    <w:abstractNumId w:val="11"/>
  </w:num>
  <w:num w:numId="37">
    <w:abstractNumId w:val="17"/>
  </w:num>
  <w:num w:numId="38">
    <w:abstractNumId w:val="23"/>
  </w:num>
  <w:num w:numId="39">
    <w:abstractNumId w:val="21"/>
  </w:num>
  <w:num w:numId="40">
    <w:abstractNumId w:val="21"/>
  </w:num>
  <w:num w:numId="41">
    <w:abstractNumId w:val="21"/>
  </w:num>
  <w:num w:numId="42">
    <w:abstractNumId w:val="15"/>
  </w:num>
  <w:num w:numId="43">
    <w:abstractNumId w:val="10"/>
  </w:num>
  <w:num w:numId="44">
    <w:abstractNumId w:val="10"/>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activeWritingStyle w:appName="MSWord" w:lang="fr-FR" w:vendorID="64" w:dllVersion="131078" w:nlCheck="1" w:checkStyle="0"/>
  <w:activeWritingStyle w:appName="MSWord" w:lang="en-GB" w:vendorID="64" w:dllVersion="131078" w:nlCheck="1" w:checkStyle="1"/>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6.2&quot; technicalblockguid=&quot;522694948336529182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2-16&lt;/text&gt;_x000d__x000a_  &lt;/metadata&gt;_x000d__x000a_  &lt;metadata key=&quot;md_Prefix&quot;&gt;_x000d__x000a_    &lt;text&gt;&lt;/text&gt;_x000d__x000a_  &lt;/metadata&gt;_x000d__x000a_  &lt;metadata key=&quot;md_DocumentNumber&quot;&gt;_x000d__x000a_    &lt;text&gt;15114&lt;/text&gt;_x000d__x000a_  &lt;/metadata&gt;_x000d__x000a_  &lt;metadata key=&quot;md_YearDocumentNumber&quot;&gt;_x000d__x000a_    &lt;text&gt;2021&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RANS 761&lt;/text&gt;_x000d__x000a_      &lt;text&gt;TELECOM 465&lt;/text&gt;_x000d__x000a_      &lt;text&gt;IND 390&lt;/text&gt;_x000d__x000a_      &lt;text&gt;CODEC 1671&lt;/text&gt;_x000d__x000a_      &lt;text&gt;DATAPROTECT 295&lt;/text&gt;_x000d__x000a_      &lt;text&gt;DIGIT 19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1-12-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813 final ANNEXES 1 to 4&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NNEXES to the Proposal for a Directive of the European Parliament and of the Council amending Directive 2010/40/EU on the framework for the deployment of Intelligent Transport Systems in the field of road transport and for interfaces with other modes of transport&quot;&gt;&amp;lt;FlowDocument FontFamily=&quot;Segoe UI&quot; FontSize=&quot;12&quot; PagePadding=&quot;2,2,2,2&quot; AllowDrop=&quot;False&quot; xmlns=&quot;http://schemas.microsoft.com/winfx/2006/xaml/presentation&quot;&amp;gt;&amp;lt;Paragraph&amp;gt;ANNEXES to the Proposal for a Directive of the European Parliament and of the Council amending Directive 2010/40/EU on the framework for the deployment of Intelligent Transport Systems in the field of road transport and for interfaces with other modes of transport&amp;lt;/Paragraph&amp;gt;&amp;lt;/FlowDocument&amp;gt;&lt;/xaml&gt;_x000d__x000a_  &lt;/metadata&gt;_x000d__x000a_  &lt;metadata key=&quot;md_SubjectFootnote&quot; /&gt;_x000d__x000a_  &lt;metadata key=&quot;md_DG&quot;&gt;_x000d__x000a_    &lt;text&gt;TREE.2.A&lt;/text&gt;_x000d__x000a_  &lt;/metadata&gt;_x000d__x000a_  &lt;metadata key=&quot;md_Initials&quot;&gt;_x000d__x000a_    &lt;text&gt;JL/c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Proposal for a Directive of the European Parliament and of the Council _x000d__x000a_amending Directive 2010/40/EU on the framework for the deployment of Intelligent Transport Systems in the field of road transport and for interfaces with other modes of transpor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1-11-30 23:12: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4"/>
    <w:docVar w:name="LW_ANNEX_UNIQUE" w:val="0"/>
    <w:docVar w:name="LW_CORRIGENDUM" w:val="&lt;UNUSED&gt;"/>
    <w:docVar w:name="LW_COVERPAGE_EXISTS" w:val="True"/>
    <w:docVar w:name="LW_COVERPAGE_GUID" w:val="79F35633-BF41-49DE-8FAA-7355134952F1"/>
    <w:docVar w:name="LW_COVERPAGE_TYPE" w:val="1"/>
    <w:docVar w:name="LW_CROSSREFERENCE" w:val="{SEC(2021) 436 final} - {SWD(2021) 474 final} - {SWD(2021) 475 final}"/>
    <w:docVar w:name="LW_DocType" w:val="ANNEX"/>
    <w:docVar w:name="LW_EMISSION" w:val="14.12.2021"/>
    <w:docVar w:name="LW_EMISSION_ISODATE" w:val="2021-12-14"/>
    <w:docVar w:name="LW_EMISSION_LOCATION" w:val="STR"/>
    <w:docVar w:name="LW_EMISSION_PREFIX" w:val="Strasbourg,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mending Directive 2010/40/EU on the framework for the deployment of Intelligent Transport Systems in the field of road transport and for interfaces with other modes of transport"/>
    <w:docVar w:name="LW_OBJETACTEPRINCIPAL.CP" w:val="amending Directive 2010/40/EU on the framework for the deployment of Intelligent Transport Systems in the field of road transport and for interfaces with other modes of transport"/>
    <w:docVar w:name="LW_PART_NBR" w:val="&lt;UNUSED&gt;"/>
    <w:docVar w:name="LW_PART_NBR_TOTAL" w:val="&lt;UNUSED&gt;"/>
    <w:docVar w:name="LW_REF.INST.NEW" w:val="COM"/>
    <w:docVar w:name="LW_REF.INST.NEW_ADOPTED" w:val="final"/>
    <w:docVar w:name="LW_REF.INST.NEW_TEXT" w:val="(2021)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Proposal for a Directive of the European Parliament and of the Council"/>
    <w:docVar w:name="LW_TYPEACTEPRINCIPAL.CP" w:val="Proposal for a Directive of the European Parliament and of the Council"/>
    <w:docVar w:name="LwApiVersions" w:val="LW4CoDe 1.23.2.0; LW 8.0, Build 20211117"/>
  </w:docVars>
  <w:rsids>
    <w:rsidRoot w:val="00B37414"/>
    <w:rsid w:val="000074E6"/>
    <w:rsid w:val="00020789"/>
    <w:rsid w:val="00026FF7"/>
    <w:rsid w:val="0003564C"/>
    <w:rsid w:val="000572A2"/>
    <w:rsid w:val="0006330E"/>
    <w:rsid w:val="0008704C"/>
    <w:rsid w:val="00091250"/>
    <w:rsid w:val="0009561A"/>
    <w:rsid w:val="00097B17"/>
    <w:rsid w:val="000A2DEE"/>
    <w:rsid w:val="000B312D"/>
    <w:rsid w:val="000E198E"/>
    <w:rsid w:val="000F25A0"/>
    <w:rsid w:val="00101A83"/>
    <w:rsid w:val="001111ED"/>
    <w:rsid w:val="001123C6"/>
    <w:rsid w:val="00114924"/>
    <w:rsid w:val="00140D21"/>
    <w:rsid w:val="001533C6"/>
    <w:rsid w:val="00156500"/>
    <w:rsid w:val="00156B36"/>
    <w:rsid w:val="0016776A"/>
    <w:rsid w:val="00196397"/>
    <w:rsid w:val="001977C7"/>
    <w:rsid w:val="001A5F3C"/>
    <w:rsid w:val="001A7964"/>
    <w:rsid w:val="001C0D10"/>
    <w:rsid w:val="001C2816"/>
    <w:rsid w:val="001D6F25"/>
    <w:rsid w:val="001E27A0"/>
    <w:rsid w:val="001F39E5"/>
    <w:rsid w:val="00216D97"/>
    <w:rsid w:val="00234791"/>
    <w:rsid w:val="00244F35"/>
    <w:rsid w:val="00297E30"/>
    <w:rsid w:val="002A511D"/>
    <w:rsid w:val="002B0956"/>
    <w:rsid w:val="002C3066"/>
    <w:rsid w:val="002C6E27"/>
    <w:rsid w:val="002D7AB3"/>
    <w:rsid w:val="002E57E6"/>
    <w:rsid w:val="002F3E71"/>
    <w:rsid w:val="002F6C60"/>
    <w:rsid w:val="002F6C7E"/>
    <w:rsid w:val="00304BFB"/>
    <w:rsid w:val="003135CE"/>
    <w:rsid w:val="00315FEC"/>
    <w:rsid w:val="003173D3"/>
    <w:rsid w:val="00321F5C"/>
    <w:rsid w:val="003276E7"/>
    <w:rsid w:val="00330EEA"/>
    <w:rsid w:val="00344476"/>
    <w:rsid w:val="00356B41"/>
    <w:rsid w:val="00370989"/>
    <w:rsid w:val="0037287E"/>
    <w:rsid w:val="00376C63"/>
    <w:rsid w:val="0038423C"/>
    <w:rsid w:val="003C2331"/>
    <w:rsid w:val="003D071D"/>
    <w:rsid w:val="003F6ECB"/>
    <w:rsid w:val="004209E8"/>
    <w:rsid w:val="00441B34"/>
    <w:rsid w:val="004643D4"/>
    <w:rsid w:val="00465EF4"/>
    <w:rsid w:val="004763D7"/>
    <w:rsid w:val="00477CF4"/>
    <w:rsid w:val="004860EE"/>
    <w:rsid w:val="00492645"/>
    <w:rsid w:val="00494846"/>
    <w:rsid w:val="004954B5"/>
    <w:rsid w:val="004956BC"/>
    <w:rsid w:val="00497712"/>
    <w:rsid w:val="004A03AF"/>
    <w:rsid w:val="004B052D"/>
    <w:rsid w:val="0050709C"/>
    <w:rsid w:val="00510F34"/>
    <w:rsid w:val="005307E3"/>
    <w:rsid w:val="00533DDF"/>
    <w:rsid w:val="00545807"/>
    <w:rsid w:val="005546A2"/>
    <w:rsid w:val="00566651"/>
    <w:rsid w:val="00582AFB"/>
    <w:rsid w:val="00582E11"/>
    <w:rsid w:val="005A1D00"/>
    <w:rsid w:val="005A7C27"/>
    <w:rsid w:val="005C06C1"/>
    <w:rsid w:val="005C35BD"/>
    <w:rsid w:val="005C79E7"/>
    <w:rsid w:val="005D2C16"/>
    <w:rsid w:val="005D7727"/>
    <w:rsid w:val="005E001D"/>
    <w:rsid w:val="005E3158"/>
    <w:rsid w:val="005E4295"/>
    <w:rsid w:val="005E4AE3"/>
    <w:rsid w:val="005F0D28"/>
    <w:rsid w:val="005F564D"/>
    <w:rsid w:val="00603D85"/>
    <w:rsid w:val="00614F83"/>
    <w:rsid w:val="00631C04"/>
    <w:rsid w:val="006331FE"/>
    <w:rsid w:val="00641AA7"/>
    <w:rsid w:val="006452E2"/>
    <w:rsid w:val="0064756B"/>
    <w:rsid w:val="006556A2"/>
    <w:rsid w:val="00656F69"/>
    <w:rsid w:val="00664D7A"/>
    <w:rsid w:val="00672157"/>
    <w:rsid w:val="0069649F"/>
    <w:rsid w:val="006C1D8F"/>
    <w:rsid w:val="006C5AE4"/>
    <w:rsid w:val="006D1A09"/>
    <w:rsid w:val="006D6BB5"/>
    <w:rsid w:val="006E1B1D"/>
    <w:rsid w:val="006F07B3"/>
    <w:rsid w:val="006F146D"/>
    <w:rsid w:val="00705D6C"/>
    <w:rsid w:val="00721DFE"/>
    <w:rsid w:val="00731592"/>
    <w:rsid w:val="00743515"/>
    <w:rsid w:val="00761D40"/>
    <w:rsid w:val="007669B8"/>
    <w:rsid w:val="00797514"/>
    <w:rsid w:val="007A2291"/>
    <w:rsid w:val="007B39EF"/>
    <w:rsid w:val="007C7E0C"/>
    <w:rsid w:val="007E6103"/>
    <w:rsid w:val="007F0F9C"/>
    <w:rsid w:val="007F65E5"/>
    <w:rsid w:val="0082020A"/>
    <w:rsid w:val="00827826"/>
    <w:rsid w:val="0083018F"/>
    <w:rsid w:val="00844777"/>
    <w:rsid w:val="00855125"/>
    <w:rsid w:val="00874378"/>
    <w:rsid w:val="00892CAC"/>
    <w:rsid w:val="008E4709"/>
    <w:rsid w:val="00905991"/>
    <w:rsid w:val="00905E95"/>
    <w:rsid w:val="009271CD"/>
    <w:rsid w:val="009272A9"/>
    <w:rsid w:val="0094502B"/>
    <w:rsid w:val="00955D2C"/>
    <w:rsid w:val="009710CB"/>
    <w:rsid w:val="00980969"/>
    <w:rsid w:val="00984E96"/>
    <w:rsid w:val="00986B33"/>
    <w:rsid w:val="00987AD5"/>
    <w:rsid w:val="009B520D"/>
    <w:rsid w:val="009B6F3A"/>
    <w:rsid w:val="009C179C"/>
    <w:rsid w:val="009C5253"/>
    <w:rsid w:val="00A145EF"/>
    <w:rsid w:val="00A36C3B"/>
    <w:rsid w:val="00A43DDD"/>
    <w:rsid w:val="00A56089"/>
    <w:rsid w:val="00A619CC"/>
    <w:rsid w:val="00A836F0"/>
    <w:rsid w:val="00AD5ACF"/>
    <w:rsid w:val="00AD6972"/>
    <w:rsid w:val="00AE0CED"/>
    <w:rsid w:val="00AE31F7"/>
    <w:rsid w:val="00B20F13"/>
    <w:rsid w:val="00B308A3"/>
    <w:rsid w:val="00B333F8"/>
    <w:rsid w:val="00B37414"/>
    <w:rsid w:val="00B4598C"/>
    <w:rsid w:val="00B52276"/>
    <w:rsid w:val="00B54D05"/>
    <w:rsid w:val="00B575B8"/>
    <w:rsid w:val="00B711EC"/>
    <w:rsid w:val="00B77248"/>
    <w:rsid w:val="00B856AB"/>
    <w:rsid w:val="00B90700"/>
    <w:rsid w:val="00B9149A"/>
    <w:rsid w:val="00BA7675"/>
    <w:rsid w:val="00BB0CF3"/>
    <w:rsid w:val="00BB17D9"/>
    <w:rsid w:val="00BC05E7"/>
    <w:rsid w:val="00BC7FEA"/>
    <w:rsid w:val="00BF17AA"/>
    <w:rsid w:val="00BF463F"/>
    <w:rsid w:val="00C076CD"/>
    <w:rsid w:val="00C10F61"/>
    <w:rsid w:val="00C22F57"/>
    <w:rsid w:val="00C24556"/>
    <w:rsid w:val="00C4271D"/>
    <w:rsid w:val="00C55A6E"/>
    <w:rsid w:val="00C6513E"/>
    <w:rsid w:val="00C65DF9"/>
    <w:rsid w:val="00CA3BAC"/>
    <w:rsid w:val="00CB30FB"/>
    <w:rsid w:val="00CC2F2D"/>
    <w:rsid w:val="00CC7FC4"/>
    <w:rsid w:val="00CF6435"/>
    <w:rsid w:val="00CF6FF2"/>
    <w:rsid w:val="00D0751A"/>
    <w:rsid w:val="00D101CA"/>
    <w:rsid w:val="00D34366"/>
    <w:rsid w:val="00D51DB0"/>
    <w:rsid w:val="00D604FC"/>
    <w:rsid w:val="00D63B50"/>
    <w:rsid w:val="00D70E42"/>
    <w:rsid w:val="00D80C79"/>
    <w:rsid w:val="00D879F1"/>
    <w:rsid w:val="00DB5EE8"/>
    <w:rsid w:val="00DC23D2"/>
    <w:rsid w:val="00DD3233"/>
    <w:rsid w:val="00E057E7"/>
    <w:rsid w:val="00E103E4"/>
    <w:rsid w:val="00E11C1C"/>
    <w:rsid w:val="00E14A90"/>
    <w:rsid w:val="00E17965"/>
    <w:rsid w:val="00E521E0"/>
    <w:rsid w:val="00E70239"/>
    <w:rsid w:val="00E72D49"/>
    <w:rsid w:val="00E871BC"/>
    <w:rsid w:val="00E96A51"/>
    <w:rsid w:val="00EA3874"/>
    <w:rsid w:val="00EC4B83"/>
    <w:rsid w:val="00ED0B46"/>
    <w:rsid w:val="00ED54FF"/>
    <w:rsid w:val="00EF3FF8"/>
    <w:rsid w:val="00F026BF"/>
    <w:rsid w:val="00F641CA"/>
    <w:rsid w:val="00F73A7E"/>
    <w:rsid w:val="00F84B06"/>
    <w:rsid w:val="00F96CA1"/>
    <w:rsid w:val="00FA216C"/>
    <w:rsid w:val="00FB2379"/>
    <w:rsid w:val="00FC0FA8"/>
    <w:rsid w:val="00FE753F"/>
    <w:rsid w:val="00FE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04954C"/>
  <w15:docId w15:val="{08A2E220-DEC3-4CEF-8A03-E13CE97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BB0CF3"/>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41"/>
      </w:numPr>
      <w:outlineLvl w:val="3"/>
    </w:pPr>
    <w:rPr>
      <w:rFonts w:eastAsiaTheme="majorEastAsia"/>
      <w:bCs/>
      <w:iCs/>
    </w:rPr>
  </w:style>
  <w:style w:type="paragraph" w:styleId="Heading5">
    <w:name w:val="heading 5"/>
    <w:basedOn w:val="Normal"/>
    <w:next w:val="Text2"/>
    <w:link w:val="Heading5Char"/>
    <w:uiPriority w:val="9"/>
    <w:semiHidden/>
    <w:unhideWhenUsed/>
    <w:qFormat/>
    <w:rsid w:val="00631C04"/>
    <w:pPr>
      <w:keepNext/>
      <w:numPr>
        <w:ilvl w:val="4"/>
        <w:numId w:val="41"/>
      </w:numPr>
      <w:outlineLvl w:val="4"/>
    </w:pPr>
    <w:rPr>
      <w:rFonts w:eastAsiaTheme="majorEastAsia"/>
    </w:rPr>
  </w:style>
  <w:style w:type="paragraph" w:styleId="Heading6">
    <w:name w:val="heading 6"/>
    <w:basedOn w:val="Normal"/>
    <w:next w:val="Text2"/>
    <w:link w:val="Heading6Char"/>
    <w:uiPriority w:val="9"/>
    <w:semiHidden/>
    <w:unhideWhenUsed/>
    <w:qFormat/>
    <w:rsid w:val="00631C04"/>
    <w:pPr>
      <w:keepNext/>
      <w:numPr>
        <w:ilvl w:val="5"/>
        <w:numId w:val="41"/>
      </w:numPr>
      <w:outlineLvl w:val="5"/>
    </w:pPr>
    <w:rPr>
      <w:rFonts w:eastAsiaTheme="majorEastAsia"/>
      <w:iCs/>
    </w:rPr>
  </w:style>
  <w:style w:type="paragraph" w:styleId="Heading7">
    <w:name w:val="heading 7"/>
    <w:basedOn w:val="Normal"/>
    <w:next w:val="Text2"/>
    <w:link w:val="Heading7Char"/>
    <w:uiPriority w:val="9"/>
    <w:semiHidden/>
    <w:unhideWhenUsed/>
    <w:qFormat/>
    <w:rsid w:val="00631C04"/>
    <w:pPr>
      <w:keepNext/>
      <w:numPr>
        <w:ilvl w:val="6"/>
        <w:numId w:val="4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4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14"/>
    <w:rPr>
      <w:rFonts w:ascii="Segoe UI" w:hAnsi="Segoe UI" w:cs="Segoe UI"/>
      <w:sz w:val="18"/>
      <w:szCs w:val="18"/>
      <w:lang w:val="en-GB"/>
    </w:rPr>
  </w:style>
  <w:style w:type="character" w:styleId="CommentReference">
    <w:name w:val="annotation reference"/>
    <w:basedOn w:val="DefaultParagraphFont"/>
    <w:uiPriority w:val="99"/>
    <w:semiHidden/>
    <w:unhideWhenUsed/>
    <w:rsid w:val="007F65E5"/>
    <w:rPr>
      <w:sz w:val="16"/>
      <w:szCs w:val="16"/>
      <w:lang w:val="en-GB"/>
    </w:rPr>
  </w:style>
  <w:style w:type="paragraph" w:styleId="CommentText">
    <w:name w:val="annotation text"/>
    <w:basedOn w:val="Normal"/>
    <w:link w:val="CommentTextChar"/>
    <w:uiPriority w:val="99"/>
    <w:semiHidden/>
    <w:unhideWhenUsed/>
    <w:rsid w:val="007F65E5"/>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65E5"/>
    <w:rPr>
      <w:sz w:val="20"/>
      <w:szCs w:val="20"/>
      <w:lang w:val="en-GB"/>
    </w:rPr>
  </w:style>
  <w:style w:type="paragraph" w:styleId="ListParagraph">
    <w:name w:val="List Paragraph"/>
    <w:basedOn w:val="Normal"/>
    <w:uiPriority w:val="34"/>
    <w:qFormat/>
    <w:rsid w:val="007F65E5"/>
    <w:pPr>
      <w:spacing w:before="0" w:after="160" w:line="259" w:lineRule="auto"/>
      <w:ind w:left="720"/>
      <w:contextualSpacing/>
      <w:jc w:val="left"/>
    </w:pPr>
    <w:rPr>
      <w:rFonts w:asciiTheme="minorHAnsi" w:hAnsiTheme="minorHAnsi" w:cstheme="minorBidi"/>
      <w:sz w:val="22"/>
    </w:rPr>
  </w:style>
  <w:style w:type="table" w:styleId="TableGridLight">
    <w:name w:val="Grid Table Light"/>
    <w:basedOn w:val="TableNormal"/>
    <w:uiPriority w:val="40"/>
    <w:rsid w:val="00B333F8"/>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842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34366"/>
    <w:pPr>
      <w:numPr>
        <w:numId w:val="2"/>
      </w:numPr>
      <w:contextualSpacing/>
    </w:pPr>
  </w:style>
  <w:style w:type="paragraph" w:styleId="ListBullet2">
    <w:name w:val="List Bullet 2"/>
    <w:basedOn w:val="Normal"/>
    <w:uiPriority w:val="99"/>
    <w:semiHidden/>
    <w:unhideWhenUsed/>
    <w:rsid w:val="00D34366"/>
    <w:pPr>
      <w:numPr>
        <w:numId w:val="3"/>
      </w:numPr>
      <w:contextualSpacing/>
    </w:pPr>
  </w:style>
  <w:style w:type="paragraph" w:styleId="ListBullet3">
    <w:name w:val="List Bullet 3"/>
    <w:basedOn w:val="Normal"/>
    <w:uiPriority w:val="99"/>
    <w:semiHidden/>
    <w:unhideWhenUsed/>
    <w:rsid w:val="00D34366"/>
    <w:pPr>
      <w:numPr>
        <w:numId w:val="4"/>
      </w:numPr>
      <w:contextualSpacing/>
    </w:pPr>
  </w:style>
  <w:style w:type="paragraph" w:styleId="ListBullet4">
    <w:name w:val="List Bullet 4"/>
    <w:basedOn w:val="Normal"/>
    <w:uiPriority w:val="99"/>
    <w:semiHidden/>
    <w:unhideWhenUsed/>
    <w:rsid w:val="00D34366"/>
    <w:pPr>
      <w:numPr>
        <w:numId w:val="5"/>
      </w:numPr>
      <w:contextualSpacing/>
    </w:pPr>
  </w:style>
  <w:style w:type="paragraph" w:styleId="Caption">
    <w:name w:val="caption"/>
    <w:basedOn w:val="Normal"/>
    <w:next w:val="Normal"/>
    <w:uiPriority w:val="35"/>
    <w:unhideWhenUsed/>
    <w:qFormat/>
    <w:rsid w:val="00874378"/>
    <w:pPr>
      <w:spacing w:before="0" w:after="200"/>
    </w:pPr>
    <w:rPr>
      <w:i/>
      <w:iCs/>
      <w:color w:val="1F497D" w:themeColor="text2"/>
      <w:sz w:val="18"/>
      <w:szCs w:val="18"/>
    </w:rPr>
  </w:style>
  <w:style w:type="paragraph" w:styleId="Revision">
    <w:name w:val="Revision"/>
    <w:hidden/>
    <w:uiPriority w:val="99"/>
    <w:semiHidden/>
    <w:rsid w:val="00140D21"/>
    <w:pPr>
      <w:spacing w:after="0" w:line="240" w:lineRule="auto"/>
    </w:pPr>
    <w:rPr>
      <w:rFonts w:ascii="Times New Roman" w:hAnsi="Times New Roman" w:cs="Times New Roman"/>
      <w:sz w:val="24"/>
      <w:lang w:val="en-GB"/>
    </w:rPr>
  </w:style>
  <w:style w:type="paragraph" w:styleId="TableofFigures">
    <w:name w:val="table of figures"/>
    <w:basedOn w:val="Normal"/>
    <w:next w:val="Normal"/>
    <w:uiPriority w:val="99"/>
    <w:semiHidden/>
    <w:unhideWhenUsed/>
    <w:rsid w:val="00E521E0"/>
    <w:pPr>
      <w:spacing w:after="0"/>
    </w:pPr>
  </w:style>
  <w:style w:type="paragraph" w:styleId="ListNumber">
    <w:name w:val="List Number"/>
    <w:basedOn w:val="Normal"/>
    <w:uiPriority w:val="99"/>
    <w:semiHidden/>
    <w:unhideWhenUsed/>
    <w:rsid w:val="00E521E0"/>
    <w:pPr>
      <w:numPr>
        <w:numId w:val="6"/>
      </w:numPr>
      <w:contextualSpacing/>
    </w:pPr>
  </w:style>
  <w:style w:type="paragraph" w:styleId="ListNumber2">
    <w:name w:val="List Number 2"/>
    <w:basedOn w:val="Normal"/>
    <w:uiPriority w:val="99"/>
    <w:semiHidden/>
    <w:unhideWhenUsed/>
    <w:rsid w:val="00E521E0"/>
    <w:pPr>
      <w:numPr>
        <w:numId w:val="7"/>
      </w:numPr>
      <w:contextualSpacing/>
    </w:pPr>
  </w:style>
  <w:style w:type="paragraph" w:styleId="ListNumber3">
    <w:name w:val="List Number 3"/>
    <w:basedOn w:val="Normal"/>
    <w:uiPriority w:val="99"/>
    <w:semiHidden/>
    <w:unhideWhenUsed/>
    <w:rsid w:val="00E521E0"/>
    <w:pPr>
      <w:numPr>
        <w:numId w:val="8"/>
      </w:numPr>
      <w:contextualSpacing/>
    </w:pPr>
  </w:style>
  <w:style w:type="paragraph" w:styleId="ListNumber4">
    <w:name w:val="List Number 4"/>
    <w:basedOn w:val="Normal"/>
    <w:uiPriority w:val="99"/>
    <w:semiHidden/>
    <w:unhideWhenUsed/>
    <w:rsid w:val="00E521E0"/>
    <w:pPr>
      <w:numPr>
        <w:numId w:val="9"/>
      </w:numPr>
      <w:contextualSpacing/>
    </w:pPr>
  </w:style>
  <w:style w:type="paragraph" w:styleId="CommentSubject">
    <w:name w:val="annotation subject"/>
    <w:basedOn w:val="CommentText"/>
    <w:next w:val="CommentText"/>
    <w:link w:val="CommentSubjectChar"/>
    <w:uiPriority w:val="99"/>
    <w:semiHidden/>
    <w:unhideWhenUsed/>
    <w:rsid w:val="00545807"/>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45807"/>
    <w:rPr>
      <w:rFonts w:ascii="Times New Roman" w:hAnsi="Times New Roman" w:cs="Times New Roman"/>
      <w:b/>
      <w:bCs/>
      <w:sz w:val="20"/>
      <w:szCs w:val="20"/>
      <w:lang w:val="en-GB"/>
    </w:rPr>
  </w:style>
  <w:style w:type="character" w:styleId="Hyperlink">
    <w:name w:val="Hyperlink"/>
    <w:basedOn w:val="DefaultParagraphFont"/>
    <w:uiPriority w:val="99"/>
    <w:unhideWhenUsed/>
    <w:rsid w:val="00545807"/>
    <w:rPr>
      <w:color w:val="0000FF" w:themeColor="hyperlink"/>
      <w:u w:val="single"/>
    </w:rPr>
  </w:style>
  <w:style w:type="paragraph" w:styleId="Header">
    <w:name w:val="header"/>
    <w:basedOn w:val="Normal"/>
    <w:link w:val="HeaderChar"/>
    <w:uiPriority w:val="99"/>
    <w:unhideWhenUsed/>
    <w:rsid w:val="004209E8"/>
    <w:pPr>
      <w:tabs>
        <w:tab w:val="center" w:pos="4535"/>
        <w:tab w:val="right" w:pos="9071"/>
      </w:tabs>
      <w:spacing w:before="0"/>
    </w:pPr>
  </w:style>
  <w:style w:type="character" w:customStyle="1" w:styleId="HeaderChar">
    <w:name w:val="Header Char"/>
    <w:basedOn w:val="DefaultParagraphFont"/>
    <w:link w:val="Header"/>
    <w:uiPriority w:val="99"/>
    <w:rsid w:val="004209E8"/>
    <w:rPr>
      <w:rFonts w:ascii="Times New Roman" w:hAnsi="Times New Roman" w:cs="Times New Roman"/>
      <w:sz w:val="24"/>
      <w:lang w:val="en-GB"/>
    </w:rPr>
  </w:style>
  <w:style w:type="paragraph" w:styleId="Footer">
    <w:name w:val="footer"/>
    <w:basedOn w:val="Normal"/>
    <w:link w:val="FooterChar"/>
    <w:uiPriority w:val="99"/>
    <w:unhideWhenUsed/>
    <w:rsid w:val="004209E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209E8"/>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4209E8"/>
    <w:pPr>
      <w:tabs>
        <w:tab w:val="center" w:pos="7285"/>
        <w:tab w:val="right" w:pos="14003"/>
      </w:tabs>
      <w:spacing w:before="0"/>
    </w:pPr>
  </w:style>
  <w:style w:type="paragraph" w:customStyle="1" w:styleId="FooterLandscape">
    <w:name w:val="FooterLandscape"/>
    <w:basedOn w:val="Normal"/>
    <w:rsid w:val="004209E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4209E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209E8"/>
    <w:pPr>
      <w:spacing w:before="0"/>
      <w:jc w:val="right"/>
    </w:pPr>
    <w:rPr>
      <w:sz w:val="28"/>
    </w:rPr>
  </w:style>
  <w:style w:type="paragraph" w:customStyle="1" w:styleId="FooterSensitivity">
    <w:name w:val="Footer Sensitivity"/>
    <w:basedOn w:val="Normal"/>
    <w:rsid w:val="004209E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25"/>
      </w:numPr>
    </w:pPr>
  </w:style>
  <w:style w:type="paragraph" w:customStyle="1" w:styleId="Tiret1">
    <w:name w:val="Tiret 1"/>
    <w:basedOn w:val="Point1"/>
    <w:rsid w:val="00BB0CF3"/>
    <w:pPr>
      <w:numPr>
        <w:numId w:val="26"/>
      </w:numPr>
    </w:pPr>
  </w:style>
  <w:style w:type="paragraph" w:customStyle="1" w:styleId="Tiret2">
    <w:name w:val="Tiret 2"/>
    <w:basedOn w:val="Point2"/>
    <w:rsid w:val="00BB0CF3"/>
    <w:pPr>
      <w:numPr>
        <w:numId w:val="27"/>
      </w:numPr>
    </w:pPr>
  </w:style>
  <w:style w:type="paragraph" w:customStyle="1" w:styleId="Tiret3">
    <w:name w:val="Tiret 3"/>
    <w:basedOn w:val="Point3"/>
    <w:rsid w:val="00BB0CF3"/>
    <w:pPr>
      <w:numPr>
        <w:numId w:val="28"/>
      </w:numPr>
    </w:pPr>
  </w:style>
  <w:style w:type="paragraph" w:customStyle="1" w:styleId="Tiret4">
    <w:name w:val="Tiret 4"/>
    <w:basedOn w:val="Point4"/>
    <w:rsid w:val="00BB0CF3"/>
    <w:pPr>
      <w:numPr>
        <w:numId w:val="29"/>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45"/>
      </w:numPr>
    </w:pPr>
  </w:style>
  <w:style w:type="paragraph" w:customStyle="1" w:styleId="NumPar2">
    <w:name w:val="NumPar 2"/>
    <w:basedOn w:val="Normal"/>
    <w:next w:val="Text1"/>
    <w:rsid w:val="00BB0CF3"/>
    <w:pPr>
      <w:numPr>
        <w:ilvl w:val="1"/>
        <w:numId w:val="45"/>
      </w:numPr>
    </w:pPr>
  </w:style>
  <w:style w:type="paragraph" w:customStyle="1" w:styleId="NumPar3">
    <w:name w:val="NumPar 3"/>
    <w:basedOn w:val="Normal"/>
    <w:next w:val="Text1"/>
    <w:rsid w:val="00BB0CF3"/>
    <w:pPr>
      <w:numPr>
        <w:ilvl w:val="2"/>
        <w:numId w:val="45"/>
      </w:numPr>
    </w:pPr>
  </w:style>
  <w:style w:type="paragraph" w:customStyle="1" w:styleId="NumPar4">
    <w:name w:val="NumPar 4"/>
    <w:basedOn w:val="Normal"/>
    <w:next w:val="Text1"/>
    <w:rsid w:val="00BB0CF3"/>
    <w:pPr>
      <w:numPr>
        <w:ilvl w:val="3"/>
        <w:numId w:val="45"/>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9B6F3A"/>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32"/>
      </w:numPr>
    </w:pPr>
  </w:style>
  <w:style w:type="paragraph" w:customStyle="1" w:styleId="Point1number">
    <w:name w:val="Point 1 (number)"/>
    <w:basedOn w:val="Normal"/>
    <w:rsid w:val="00BB0CF3"/>
    <w:pPr>
      <w:numPr>
        <w:ilvl w:val="2"/>
        <w:numId w:val="32"/>
      </w:numPr>
    </w:pPr>
  </w:style>
  <w:style w:type="paragraph" w:customStyle="1" w:styleId="Point2number">
    <w:name w:val="Point 2 (number)"/>
    <w:basedOn w:val="Normal"/>
    <w:rsid w:val="00BB0CF3"/>
    <w:pPr>
      <w:numPr>
        <w:ilvl w:val="4"/>
        <w:numId w:val="32"/>
      </w:numPr>
    </w:pPr>
  </w:style>
  <w:style w:type="paragraph" w:customStyle="1" w:styleId="Point3number">
    <w:name w:val="Point 3 (number)"/>
    <w:basedOn w:val="Normal"/>
    <w:rsid w:val="00BB0CF3"/>
    <w:pPr>
      <w:numPr>
        <w:ilvl w:val="6"/>
        <w:numId w:val="32"/>
      </w:numPr>
    </w:pPr>
  </w:style>
  <w:style w:type="paragraph" w:customStyle="1" w:styleId="Point0letter">
    <w:name w:val="Point 0 (letter)"/>
    <w:basedOn w:val="Normal"/>
    <w:rsid w:val="00BB0CF3"/>
    <w:pPr>
      <w:numPr>
        <w:ilvl w:val="1"/>
        <w:numId w:val="32"/>
      </w:numPr>
    </w:pPr>
  </w:style>
  <w:style w:type="paragraph" w:customStyle="1" w:styleId="Point1letter">
    <w:name w:val="Point 1 (letter)"/>
    <w:basedOn w:val="Normal"/>
    <w:rsid w:val="00BB0CF3"/>
    <w:pPr>
      <w:numPr>
        <w:ilvl w:val="3"/>
        <w:numId w:val="32"/>
      </w:numPr>
    </w:pPr>
  </w:style>
  <w:style w:type="paragraph" w:customStyle="1" w:styleId="Point2letter">
    <w:name w:val="Point 2 (letter)"/>
    <w:basedOn w:val="Normal"/>
    <w:rsid w:val="00BB0CF3"/>
    <w:pPr>
      <w:numPr>
        <w:ilvl w:val="5"/>
        <w:numId w:val="32"/>
      </w:numPr>
    </w:pPr>
  </w:style>
  <w:style w:type="paragraph" w:customStyle="1" w:styleId="Point3letter">
    <w:name w:val="Point 3 (letter)"/>
    <w:basedOn w:val="Normal"/>
    <w:rsid w:val="00BB0CF3"/>
    <w:pPr>
      <w:numPr>
        <w:ilvl w:val="7"/>
        <w:numId w:val="32"/>
      </w:numPr>
    </w:pPr>
  </w:style>
  <w:style w:type="paragraph" w:customStyle="1" w:styleId="Point4letter">
    <w:name w:val="Point 4 (letter)"/>
    <w:basedOn w:val="Normal"/>
    <w:rsid w:val="00BB0CF3"/>
    <w:pPr>
      <w:numPr>
        <w:ilvl w:val="8"/>
        <w:numId w:val="32"/>
      </w:numPr>
    </w:pPr>
  </w:style>
  <w:style w:type="paragraph" w:customStyle="1" w:styleId="Bullet0">
    <w:name w:val="Bullet 0"/>
    <w:basedOn w:val="Normal"/>
    <w:rsid w:val="00BB0CF3"/>
    <w:pPr>
      <w:numPr>
        <w:numId w:val="33"/>
      </w:numPr>
    </w:pPr>
  </w:style>
  <w:style w:type="paragraph" w:customStyle="1" w:styleId="Bullet1">
    <w:name w:val="Bullet 1"/>
    <w:basedOn w:val="Normal"/>
    <w:rsid w:val="00BB0CF3"/>
    <w:pPr>
      <w:numPr>
        <w:numId w:val="34"/>
      </w:numPr>
    </w:pPr>
  </w:style>
  <w:style w:type="paragraph" w:customStyle="1" w:styleId="Bullet2">
    <w:name w:val="Bullet 2"/>
    <w:basedOn w:val="Normal"/>
    <w:rsid w:val="00BB0CF3"/>
    <w:pPr>
      <w:numPr>
        <w:numId w:val="35"/>
      </w:numPr>
    </w:pPr>
  </w:style>
  <w:style w:type="paragraph" w:customStyle="1" w:styleId="Bullet3">
    <w:name w:val="Bullet 3"/>
    <w:basedOn w:val="Normal"/>
    <w:rsid w:val="00BB0CF3"/>
    <w:pPr>
      <w:numPr>
        <w:numId w:val="36"/>
      </w:numPr>
    </w:pPr>
  </w:style>
  <w:style w:type="paragraph" w:customStyle="1" w:styleId="Bullet4">
    <w:name w:val="Bullet 4"/>
    <w:basedOn w:val="Normal"/>
    <w:rsid w:val="00BB0CF3"/>
    <w:pPr>
      <w:numPr>
        <w:numId w:val="37"/>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38"/>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 w:type="character" w:customStyle="1" w:styleId="Heading5Char">
    <w:name w:val="Heading 5 Char"/>
    <w:basedOn w:val="DefaultParagraphFont"/>
    <w:link w:val="Heading5"/>
    <w:uiPriority w:val="9"/>
    <w:semiHidden/>
    <w:rsid w:val="00631C04"/>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631C04"/>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631C04"/>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631C04"/>
    <w:pPr>
      <w:keepNext/>
      <w:tabs>
        <w:tab w:val="left" w:pos="1417"/>
      </w:tabs>
      <w:ind w:left="1417" w:hanging="1417"/>
      <w:outlineLvl w:val="4"/>
    </w:pPr>
  </w:style>
  <w:style w:type="paragraph" w:customStyle="1" w:styleId="ManualHeading6">
    <w:name w:val="Manual Heading 6"/>
    <w:basedOn w:val="Normal"/>
    <w:next w:val="Text2"/>
    <w:rsid w:val="00631C04"/>
    <w:pPr>
      <w:keepNext/>
      <w:tabs>
        <w:tab w:val="left" w:pos="1417"/>
      </w:tabs>
      <w:ind w:left="1417" w:hanging="1417"/>
      <w:outlineLvl w:val="5"/>
    </w:pPr>
  </w:style>
  <w:style w:type="paragraph" w:customStyle="1" w:styleId="ManualHeading7">
    <w:name w:val="Manual Heading 7"/>
    <w:basedOn w:val="Normal"/>
    <w:next w:val="Text2"/>
    <w:rsid w:val="00631C04"/>
    <w:pPr>
      <w:keepNext/>
      <w:tabs>
        <w:tab w:val="left" w:pos="1417"/>
      </w:tabs>
      <w:ind w:left="1417" w:hanging="1417"/>
      <w:outlineLvl w:val="6"/>
    </w:pPr>
  </w:style>
  <w:style w:type="paragraph" w:customStyle="1" w:styleId="Text5">
    <w:name w:val="Text 5"/>
    <w:basedOn w:val="Normal"/>
    <w:rsid w:val="00631C04"/>
    <w:pPr>
      <w:ind w:left="3118"/>
    </w:pPr>
  </w:style>
  <w:style w:type="paragraph" w:customStyle="1" w:styleId="Text6">
    <w:name w:val="Text 6"/>
    <w:basedOn w:val="Normal"/>
    <w:rsid w:val="00631C04"/>
    <w:pPr>
      <w:ind w:left="3685"/>
    </w:pPr>
  </w:style>
  <w:style w:type="paragraph" w:customStyle="1" w:styleId="Point5">
    <w:name w:val="Point 5"/>
    <w:basedOn w:val="Normal"/>
    <w:rsid w:val="00631C04"/>
    <w:pPr>
      <w:ind w:left="3685" w:hanging="567"/>
    </w:pPr>
  </w:style>
  <w:style w:type="paragraph" w:customStyle="1" w:styleId="Tiret5">
    <w:name w:val="Tiret 5"/>
    <w:basedOn w:val="Point5"/>
    <w:rsid w:val="00631C04"/>
    <w:pPr>
      <w:numPr>
        <w:numId w:val="42"/>
      </w:numPr>
    </w:pPr>
  </w:style>
  <w:style w:type="paragraph" w:customStyle="1" w:styleId="NumPar5">
    <w:name w:val="NumPar 5"/>
    <w:basedOn w:val="Normal"/>
    <w:next w:val="Text2"/>
    <w:rsid w:val="00631C04"/>
    <w:pPr>
      <w:numPr>
        <w:ilvl w:val="4"/>
        <w:numId w:val="45"/>
      </w:numPr>
    </w:pPr>
  </w:style>
  <w:style w:type="paragraph" w:customStyle="1" w:styleId="NumPar6">
    <w:name w:val="NumPar 6"/>
    <w:basedOn w:val="Normal"/>
    <w:next w:val="Text2"/>
    <w:rsid w:val="00631C04"/>
    <w:pPr>
      <w:numPr>
        <w:ilvl w:val="5"/>
        <w:numId w:val="45"/>
      </w:numPr>
    </w:pPr>
  </w:style>
  <w:style w:type="paragraph" w:customStyle="1" w:styleId="NumPar7">
    <w:name w:val="NumPar 7"/>
    <w:basedOn w:val="Normal"/>
    <w:next w:val="Text2"/>
    <w:rsid w:val="00631C04"/>
    <w:pPr>
      <w:numPr>
        <w:ilvl w:val="6"/>
        <w:numId w:val="45"/>
      </w:numPr>
    </w:pPr>
  </w:style>
  <w:style w:type="paragraph" w:customStyle="1" w:styleId="ManualNumPar5">
    <w:name w:val="Manual NumPar 5"/>
    <w:basedOn w:val="Normal"/>
    <w:next w:val="Text2"/>
    <w:rsid w:val="00631C04"/>
    <w:pPr>
      <w:ind w:left="1417" w:hanging="1417"/>
    </w:pPr>
  </w:style>
  <w:style w:type="paragraph" w:customStyle="1" w:styleId="ManualNumPar6">
    <w:name w:val="Manual NumPar 6"/>
    <w:basedOn w:val="Normal"/>
    <w:next w:val="Text2"/>
    <w:rsid w:val="00631C04"/>
    <w:pPr>
      <w:ind w:left="1417" w:hanging="1417"/>
    </w:pPr>
  </w:style>
  <w:style w:type="paragraph" w:customStyle="1" w:styleId="ManualNumPar7">
    <w:name w:val="Manual NumPar 7"/>
    <w:basedOn w:val="Normal"/>
    <w:next w:val="Text2"/>
    <w:rsid w:val="00631C04"/>
    <w:pPr>
      <w:ind w:left="1417" w:hanging="1417"/>
    </w:pPr>
  </w:style>
  <w:style w:type="paragraph" w:customStyle="1" w:styleId="TechnicalBlock">
    <w:name w:val="Technical Block"/>
    <w:basedOn w:val="Normal"/>
    <w:link w:val="TechnicalBlockChar"/>
    <w:rsid w:val="009B6F3A"/>
    <w:pPr>
      <w:spacing w:before="0" w:after="240"/>
      <w:jc w:val="center"/>
    </w:pPr>
    <w:rPr>
      <w:noProof/>
    </w:rPr>
  </w:style>
  <w:style w:type="character" w:customStyle="1" w:styleId="TechnicalBlockChar">
    <w:name w:val="Technical Block Char"/>
    <w:basedOn w:val="DefaultParagraphFont"/>
    <w:link w:val="TechnicalBlock"/>
    <w:rsid w:val="009B6F3A"/>
    <w:rPr>
      <w:rFonts w:ascii="Times New Roman" w:hAnsi="Times New Roman" w:cs="Times New Roman"/>
      <w:noProof/>
      <w:sz w:val="24"/>
      <w:lang w:val="en-GB"/>
    </w:rPr>
  </w:style>
  <w:style w:type="paragraph" w:customStyle="1" w:styleId="EntText">
    <w:name w:val="EntText"/>
    <w:basedOn w:val="Normal"/>
    <w:rsid w:val="009B6F3A"/>
    <w:pPr>
      <w:spacing w:line="360" w:lineRule="auto"/>
      <w:jc w:val="left"/>
    </w:pPr>
  </w:style>
  <w:style w:type="paragraph" w:customStyle="1" w:styleId="Lignefinal">
    <w:name w:val="Ligne final"/>
    <w:basedOn w:val="Normal"/>
    <w:next w:val="Normal"/>
    <w:rsid w:val="009B6F3A"/>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9B6F3A"/>
    <w:pPr>
      <w:spacing w:before="1200"/>
      <w:ind w:left="1440" w:hanging="1440"/>
      <w:jc w:val="left"/>
    </w:pPr>
  </w:style>
  <w:style w:type="character" w:customStyle="1" w:styleId="pjChar">
    <w:name w:val="p.j. Char"/>
    <w:basedOn w:val="DefaultParagraphFont"/>
    <w:link w:val="pj"/>
    <w:rsid w:val="009B6F3A"/>
    <w:rPr>
      <w:rFonts w:ascii="Times New Roman" w:hAnsi="Times New Roman" w:cs="Times New Roman"/>
      <w:sz w:val="24"/>
      <w:lang w:val="en-GB"/>
    </w:rPr>
  </w:style>
  <w:style w:type="paragraph" w:customStyle="1" w:styleId="nbbordered">
    <w:name w:val="nb bordered"/>
    <w:basedOn w:val="Normal"/>
    <w:link w:val="nbborderedChar"/>
    <w:rsid w:val="009B6F3A"/>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DefaultParagraphFont"/>
    <w:link w:val="nbbordered"/>
    <w:rsid w:val="009B6F3A"/>
    <w:rPr>
      <w:rFonts w:ascii="Times New Roman" w:hAnsi="Times New Roman" w:cs="Times New Roman"/>
      <w:b/>
      <w:sz w:val="24"/>
      <w:lang w:val="en-GB"/>
    </w:rPr>
  </w:style>
  <w:style w:type="paragraph" w:customStyle="1" w:styleId="HeaderCouncil">
    <w:name w:val="Header Council"/>
    <w:basedOn w:val="Normal"/>
    <w:link w:val="HeaderCouncilChar"/>
    <w:rsid w:val="009B6F3A"/>
    <w:pPr>
      <w:spacing w:before="0" w:after="0"/>
    </w:pPr>
    <w:rPr>
      <w:noProof/>
      <w:sz w:val="2"/>
    </w:rPr>
  </w:style>
  <w:style w:type="character" w:customStyle="1" w:styleId="HeaderCouncilChar">
    <w:name w:val="Header Council Char"/>
    <w:basedOn w:val="DefaultParagraphFont"/>
    <w:link w:val="HeaderCouncil"/>
    <w:rsid w:val="009B6F3A"/>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9B6F3A"/>
    <w:pPr>
      <w:spacing w:before="0" w:after="440"/>
    </w:pPr>
    <w:rPr>
      <w:noProof/>
      <w:sz w:val="2"/>
    </w:rPr>
  </w:style>
  <w:style w:type="character" w:customStyle="1" w:styleId="HeaderCouncilLargeChar">
    <w:name w:val="Header Council Large Char"/>
    <w:basedOn w:val="DefaultParagraphFont"/>
    <w:link w:val="HeaderCouncilLarge"/>
    <w:rsid w:val="009B6F3A"/>
    <w:rPr>
      <w:rFonts w:ascii="Times New Roman" w:hAnsi="Times New Roman" w:cs="Times New Roman"/>
      <w:noProof/>
      <w:sz w:val="2"/>
      <w:lang w:val="en-GB"/>
    </w:rPr>
  </w:style>
  <w:style w:type="paragraph" w:customStyle="1" w:styleId="FooterCouncil">
    <w:name w:val="Footer Council"/>
    <w:basedOn w:val="Normal"/>
    <w:link w:val="FooterCouncilChar"/>
    <w:rsid w:val="009B6F3A"/>
    <w:pPr>
      <w:spacing w:before="0" w:after="0"/>
    </w:pPr>
    <w:rPr>
      <w:noProof/>
      <w:sz w:val="2"/>
    </w:rPr>
  </w:style>
  <w:style w:type="character" w:customStyle="1" w:styleId="FooterCouncilChar">
    <w:name w:val="Footer Council Char"/>
    <w:basedOn w:val="DefaultParagraphFont"/>
    <w:link w:val="FooterCouncil"/>
    <w:rsid w:val="009B6F3A"/>
    <w:rPr>
      <w:rFonts w:ascii="Times New Roman" w:hAnsi="Times New Roman" w:cs="Times New Roman"/>
      <w:noProof/>
      <w:sz w:val="2"/>
      <w:lang w:val="en-GB"/>
    </w:rPr>
  </w:style>
  <w:style w:type="paragraph" w:customStyle="1" w:styleId="FooterText">
    <w:name w:val="Footer Text"/>
    <w:basedOn w:val="Normal"/>
    <w:rsid w:val="009B6F3A"/>
    <w:pPr>
      <w:spacing w:before="0" w:after="0"/>
      <w:jc w:val="left"/>
    </w:pPr>
    <w:rPr>
      <w:rFonts w:eastAsia="Times New Roman"/>
      <w:szCs w:val="24"/>
    </w:rPr>
  </w:style>
  <w:style w:type="character" w:styleId="PlaceholderText">
    <w:name w:val="Placeholder Text"/>
    <w:basedOn w:val="DefaultParagraphFont"/>
    <w:uiPriority w:val="99"/>
    <w:semiHidden/>
    <w:rsid w:val="009B6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C7F8A37D09943A25A2648088DB20F" ma:contentTypeVersion="0" ma:contentTypeDescription="Create a new document." ma:contentTypeScope="" ma:versionID="6f689c1653c512e387998d0ab422ab4a">
  <xsd:schema xmlns:xsd="http://www.w3.org/2001/XMLSchema" xmlns:xs="http://www.w3.org/2001/XMLSchema" xmlns:p="http://schemas.microsoft.com/office/2006/metadata/properties" targetNamespace="http://schemas.microsoft.com/office/2006/metadata/properties" ma:root="true" ma:fieldsID="6a2bb3c60970eff71f72cb75075ace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53999-2DEB-4E5C-9498-7901C7400D51}">
  <ds:schemaRefs>
    <ds:schemaRef ds:uri="http://schemas.microsoft.com/sharepoint/v3/contenttype/forms"/>
  </ds:schemaRefs>
</ds:datastoreItem>
</file>

<file path=customXml/itemProps2.xml><?xml version="1.0" encoding="utf-8"?>
<ds:datastoreItem xmlns:ds="http://schemas.openxmlformats.org/officeDocument/2006/customXml" ds:itemID="{A49AD66B-0CE7-48F4-AB2A-B1AA0350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AF11BF-AD4D-40CD-8B85-C18B3293AA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3127</Words>
  <Characters>17825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CARABIN Gilles (MOVE)</dc:creator>
  <cp:keywords/>
  <dc:description/>
  <cp:lastModifiedBy>FACCI Carlo</cp:lastModifiedBy>
  <cp:revision>2</cp:revision>
  <cp:lastPrinted>2021-10-01T07:11:00Z</cp:lastPrinted>
  <dcterms:created xsi:type="dcterms:W3CDTF">2021-12-16T08:57:00Z</dcterms:created>
  <dcterms:modified xsi:type="dcterms:W3CDTF">2021-12-16T08:57:00Z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DocuWrite 4.6.2, Build 20211105</vt:lpwstr>
  </property>
  <property fmtid="{D5CDD505-2E9C-101B-9397-08002B2CF9AE}" pid="5" name="Created using">
    <vt:lpwstr>DocuWrite 4.6.2, Build 20211105</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0x01010039BC7F8A37D09943A25A2648088DB20F</vt:lpwstr>
  </property>
  <property fmtid="{D5CDD505-2E9C-101B-9397-08002B2CF9AE}" pid="14" name="IsMyDocuments">
    <vt:bool>true</vt:bool>
  </property>
  <property fmtid="{D5CDD505-2E9C-101B-9397-08002B2CF9AE}" pid="15" name="DQCStatus">
    <vt:lpwstr>Yellow (DQC version 03)</vt:lpwstr>
  </property>
</Properties>
</file>